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4"/>
        <w:spacing w:before="305" w:line="187" w:lineRule="auto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宁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波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06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市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12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住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1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房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12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和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1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城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92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乡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10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建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17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设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03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局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15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文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112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color w:val="FF0000"/>
          <w:spacing w:val="-63"/>
          <w:w w:val="89"/>
        </w:rPr>
        <w:t>件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left="3081"/>
        <w:spacing w:before="10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甬建发〔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2023</w:t>
      </w:r>
      <w:r>
        <w:rPr>
          <w:rFonts w:ascii="FangSong" w:hAnsi="FangSong" w:eastAsia="FangSong" w:cs="FangSong"/>
          <w:sz w:val="31"/>
          <w:szCs w:val="31"/>
          <w:spacing w:val="4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</w:t>
      </w:r>
    </w:p>
    <w:p>
      <w:pPr>
        <w:spacing w:before="6" w:line="35" w:lineRule="exact"/>
        <w:textAlignment w:val="center"/>
        <w:rPr/>
      </w:pPr>
      <w:r>
        <w:drawing>
          <wp:inline distT="0" distB="0" distL="0" distR="0">
            <wp:extent cx="5534024" cy="22225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34024" cy="2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left="1128" w:right="287" w:hanging="875"/>
        <w:spacing w:before="184" w:line="25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4"/>
        </w:rPr>
        <w:t>宁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波市住房和城乡建设局关于一起学考选考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6"/>
        </w:rPr>
        <w:t>期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间文明施工管理混乱的情况通报</w:t>
      </w:r>
    </w:p>
    <w:p>
      <w:pPr>
        <w:spacing w:line="392" w:lineRule="auto"/>
        <w:rPr>
          <w:rFonts w:ascii="Arial"/>
          <w:sz w:val="21"/>
        </w:rPr>
      </w:pPr>
      <w:r/>
    </w:p>
    <w:p>
      <w:pPr>
        <w:ind w:left="21"/>
        <w:spacing w:before="10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各区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(县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4"/>
        </w:rPr>
        <w:t>市)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、开发园区住房城乡建设主管部门，市建设安质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总站，</w:t>
      </w:r>
      <w:r>
        <w:rPr>
          <w:rFonts w:ascii="FangSong" w:hAnsi="FangSong" w:eastAsia="FangSong" w:cs="FangSong"/>
          <w:sz w:val="31"/>
          <w:szCs w:val="31"/>
          <w:spacing w:val="6"/>
        </w:rPr>
        <w:t>市建筑业协会、市政行业协会、建设监理与招投标协会，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各</w:t>
      </w:r>
      <w:r>
        <w:rPr>
          <w:rFonts w:ascii="FangSong" w:hAnsi="FangSong" w:eastAsia="FangSong" w:cs="FangSong"/>
          <w:sz w:val="31"/>
          <w:szCs w:val="31"/>
          <w:spacing w:val="7"/>
        </w:rPr>
        <w:t>建设、施工、监理企业：</w:t>
      </w:r>
    </w:p>
    <w:p>
      <w:pPr>
        <w:ind w:left="29" w:right="42" w:firstLine="620"/>
        <w:spacing w:before="2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日接市民电话</w:t>
      </w:r>
      <w:r>
        <w:rPr>
          <w:rFonts w:ascii="FangSong" w:hAnsi="FangSong" w:eastAsia="FangSong" w:cs="FangSong"/>
          <w:sz w:val="31"/>
          <w:szCs w:val="31"/>
          <w:spacing w:val="1"/>
        </w:rPr>
        <w:t>举报并核实，市轨道交通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线</w:t>
      </w:r>
      <w:r>
        <w:rPr>
          <w:rFonts w:ascii="FangSong" w:hAnsi="FangSong" w:eastAsia="FangSong" w:cs="FangSong"/>
          <w:sz w:val="31"/>
          <w:szCs w:val="31"/>
          <w:spacing w:val="7"/>
        </w:rPr>
        <w:t>一期土建工程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TJ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8110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标段未遵守《宁波市住房和城乡建设局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关于加强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年全国硕士研究生招生考试以及浙江省普通高</w:t>
      </w:r>
      <w:r>
        <w:rPr>
          <w:rFonts w:ascii="FangSong" w:hAnsi="FangSong" w:eastAsia="FangSong" w:cs="FangSong"/>
          <w:sz w:val="31"/>
          <w:szCs w:val="31"/>
          <w:spacing w:val="3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学考选考期</w:t>
      </w:r>
      <w:r>
        <w:rPr>
          <w:rFonts w:ascii="FangSong" w:hAnsi="FangSong" w:eastAsia="FangSong" w:cs="FangSong"/>
          <w:sz w:val="31"/>
          <w:szCs w:val="31"/>
          <w:spacing w:val="4"/>
        </w:rPr>
        <w:t>间房屋市政工程文明施工管理工作的通知》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(甬建发</w:t>
      </w:r>
    </w:p>
    <w:p>
      <w:pPr>
        <w:ind w:left="5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〔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22</w:t>
      </w:r>
      <w:r>
        <w:rPr>
          <w:rFonts w:ascii="FangSong" w:hAnsi="FangSong" w:eastAsia="FangSong" w:cs="FangSong"/>
          <w:sz w:val="31"/>
          <w:szCs w:val="31"/>
          <w:spacing w:val="6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124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文件规定，在考试期间文明施工管控不到位，</w:t>
      </w:r>
    </w:p>
    <w:p>
      <w:pPr>
        <w:sectPr>
          <w:footerReference w:type="default" r:id="rId1"/>
          <w:pgSz w:w="11906" w:h="16839"/>
          <w:pgMar w:top="1431" w:right="1431" w:bottom="1661" w:left="1587" w:header="0" w:footer="1386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before="10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施</w:t>
      </w:r>
      <w:r>
        <w:rPr>
          <w:rFonts w:ascii="FangSong" w:hAnsi="FangSong" w:eastAsia="FangSong" w:cs="FangSong"/>
          <w:sz w:val="31"/>
          <w:szCs w:val="31"/>
          <w:spacing w:val="8"/>
        </w:rPr>
        <w:t>工噪声扰民严重，现予以全市通报批评。</w:t>
      </w:r>
    </w:p>
    <w:p>
      <w:pPr>
        <w:ind w:left="633" w:right="119" w:firstLine="1"/>
        <w:spacing w:before="218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工程名称：</w:t>
      </w:r>
      <w:r>
        <w:rPr>
          <w:rFonts w:ascii="FangSong" w:hAnsi="FangSong" w:eastAsia="FangSong" w:cs="FangSong"/>
          <w:sz w:val="31"/>
          <w:szCs w:val="31"/>
          <w:spacing w:val="1"/>
        </w:rPr>
        <w:t>市轨道交通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号线一期土建工程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TJ8110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标段；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9"/>
        </w:rPr>
        <w:t>建设单位：</w:t>
      </w:r>
      <w:r>
        <w:rPr>
          <w:rFonts w:ascii="FangSong" w:hAnsi="FangSong" w:eastAsia="FangSong" w:cs="FangSong"/>
          <w:sz w:val="31"/>
          <w:szCs w:val="31"/>
          <w:spacing w:val="9"/>
        </w:rPr>
        <w:t>宁波市轨道交通集团有限公司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</w:p>
    <w:p>
      <w:pPr>
        <w:ind w:left="21" w:right="2" w:firstLine="609"/>
        <w:spacing w:before="1" w:line="35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施</w:t>
      </w:r>
      <w:r>
        <w:rPr>
          <w:rFonts w:ascii="SimHei" w:hAnsi="SimHei" w:eastAsia="SimHei" w:cs="SimHei"/>
          <w:sz w:val="31"/>
          <w:szCs w:val="31"/>
          <w:spacing w:val="5"/>
        </w:rPr>
        <w:t>工单位：</w:t>
      </w:r>
      <w:r>
        <w:rPr>
          <w:rFonts w:ascii="FangSong" w:hAnsi="FangSong" w:eastAsia="FangSong" w:cs="FangSong"/>
          <w:sz w:val="31"/>
          <w:szCs w:val="31"/>
          <w:spacing w:val="5"/>
        </w:rPr>
        <w:t>中国建筑第八工程局有限公司、华恒建设集团有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限公</w:t>
      </w:r>
      <w:r>
        <w:rPr>
          <w:rFonts w:ascii="FangSong" w:hAnsi="FangSong" w:eastAsia="FangSong" w:cs="FangSong"/>
          <w:sz w:val="31"/>
          <w:szCs w:val="31"/>
          <w:spacing w:val="2"/>
        </w:rPr>
        <w:t>司联合体；</w:t>
      </w:r>
    </w:p>
    <w:p>
      <w:pPr>
        <w:ind w:left="63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监理单位：</w:t>
      </w:r>
      <w:r>
        <w:rPr>
          <w:rFonts w:ascii="FangSong" w:hAnsi="FangSong" w:eastAsia="FangSong" w:cs="FangSong"/>
          <w:sz w:val="31"/>
          <w:szCs w:val="31"/>
          <w:spacing w:val="9"/>
        </w:rPr>
        <w:t>上海地铁咨询监理科技有限公司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firstLine="678"/>
        <w:spacing w:before="216" w:line="36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同时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责令该项目暂停施工，对施工和监理单位在“宁波市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建筑</w:t>
      </w:r>
      <w:r>
        <w:rPr>
          <w:rFonts w:ascii="FangSong" w:hAnsi="FangSong" w:eastAsia="FangSong" w:cs="FangSong"/>
          <w:sz w:val="31"/>
          <w:szCs w:val="31"/>
          <w:spacing w:val="10"/>
        </w:rPr>
        <w:t>市</w:t>
      </w:r>
      <w:r>
        <w:rPr>
          <w:rFonts w:ascii="FangSong" w:hAnsi="FangSong" w:eastAsia="FangSong" w:cs="FangSong"/>
          <w:sz w:val="31"/>
          <w:szCs w:val="31"/>
          <w:spacing w:val="7"/>
        </w:rPr>
        <w:t>场主体专项信用评价”中予以扣除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分的信用惩戒。请其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他</w:t>
      </w:r>
      <w:r>
        <w:rPr>
          <w:rFonts w:ascii="FangSong" w:hAnsi="FangSong" w:eastAsia="FangSong" w:cs="FangSong"/>
          <w:sz w:val="31"/>
          <w:szCs w:val="31"/>
          <w:spacing w:val="5"/>
        </w:rPr>
        <w:t>各建设、施工、监理企业严格执行我市有关要求，将考试期间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文</w:t>
      </w:r>
      <w:r>
        <w:rPr>
          <w:rFonts w:ascii="FangSong" w:hAnsi="FangSong" w:eastAsia="FangSong" w:cs="FangSong"/>
          <w:sz w:val="31"/>
          <w:szCs w:val="31"/>
          <w:spacing w:val="5"/>
        </w:rPr>
        <w:t>明施工噪声控制认真落实到位。再有发现有禁不止、有令不行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5"/>
        </w:rPr>
        <w:t>企业，将从快通报、从重处罚直至挂牌督办，列入重点监管企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业名单。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5268" w:right="847" w:hanging="772"/>
        <w:spacing w:before="102" w:line="366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3262314</wp:posOffset>
            </wp:positionH>
            <wp:positionV relativeFrom="paragraph">
              <wp:posOffset>-470961</wp:posOffset>
            </wp:positionV>
            <wp:extent cx="1524000" cy="152400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12"/>
        </w:rPr>
        <w:t>宁</w:t>
      </w:r>
      <w:r>
        <w:rPr>
          <w:rFonts w:ascii="FangSong" w:hAnsi="FangSong" w:eastAsia="FangSong" w:cs="FangSong"/>
          <w:sz w:val="31"/>
          <w:szCs w:val="31"/>
          <w:spacing w:val="6"/>
        </w:rPr>
        <w:t>波市住房和城乡建设局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月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日</w:t>
      </w:r>
    </w:p>
    <w:p>
      <w:pPr>
        <w:sectPr>
          <w:footerReference w:type="default" r:id="rId3"/>
          <w:pgSz w:w="11906" w:h="16839"/>
          <w:pgMar w:top="1431" w:right="1473" w:bottom="1660" w:left="1606" w:header="0" w:footer="1386" w:gutter="0"/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0" w:lineRule="exact"/>
        <w:textAlignment w:val="center"/>
        <w:rPr/>
      </w:pPr>
      <w:r>
        <w:drawing>
          <wp:inline distT="0" distB="0" distL="0" distR="0">
            <wp:extent cx="5600699" cy="1270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9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1"/>
        <w:spacing w:before="72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宁波市住</w:t>
      </w:r>
      <w:r>
        <w:rPr>
          <w:rFonts w:ascii="FangSong" w:hAnsi="FangSong" w:eastAsia="FangSong" w:cs="FangSong"/>
          <w:sz w:val="28"/>
          <w:szCs w:val="28"/>
          <w:spacing w:val="-5"/>
        </w:rPr>
        <w:t>房和城乡建设局办公室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2023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年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月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5"/>
        </w:rPr>
        <w:t xml:space="preserve">  </w:t>
      </w:r>
      <w:r>
        <w:rPr>
          <w:rFonts w:ascii="FangSong" w:hAnsi="FangSong" w:eastAsia="FangSong" w:cs="FangSong"/>
          <w:sz w:val="28"/>
          <w:szCs w:val="28"/>
          <w:spacing w:val="-5"/>
        </w:rPr>
        <w:t>日印发</w:t>
      </w:r>
    </w:p>
    <w:p>
      <w:pPr>
        <w:spacing w:before="6" w:line="20" w:lineRule="exact"/>
        <w:textAlignment w:val="center"/>
        <w:rPr/>
      </w:pPr>
      <w:r>
        <w:drawing>
          <wp:inline distT="0" distB="0" distL="0" distR="0">
            <wp:extent cx="5600699" cy="1270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069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5"/>
      <w:pgSz w:w="11906" w:h="16839"/>
      <w:pgMar w:top="1431" w:right="1499" w:bottom="400" w:left="158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20"/>
      <w:spacing w:line="181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-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1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77"/>
      <w:spacing w:before="1" w:line="180" w:lineRule="auto"/>
      <w:jc w:val="righ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spacing w:val="-1"/>
      </w:rPr>
      <w:t>-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2</w:t>
    </w:r>
    <w:r>
      <w:rPr>
        <w:rFonts w:ascii="FangSong" w:hAnsi="FangSong" w:eastAsia="FangSong" w:cs="FangSong"/>
        <w:sz w:val="28"/>
        <w:szCs w:val="28"/>
      </w:rPr>
      <w:t xml:space="preserve"> </w:t>
    </w:r>
    <w:r>
      <w:rPr>
        <w:rFonts w:ascii="FangSong" w:hAnsi="FangSong" w:eastAsia="FangSong" w:cs="FangSong"/>
        <w:sz w:val="28"/>
        <w:szCs w:val="2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footer" Target="footer3.xml"/><Relationship Id="rId4" Type="http://schemas.openxmlformats.org/officeDocument/2006/relationships/image" Target="media/image2.jpeg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2023-01-07T14:14:59Z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2023-02-10T12:22:46</vt:filetime>
  </op:property>
</op:Properties>
</file>