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70"/>
        <w:spacing w:before="220" w:line="219" w:lineRule="auto"/>
        <w:rPr>
          <w:rFonts w:ascii="SimSun" w:hAnsi="SimSun" w:eastAsia="SimSun" w:cs="SimSun"/>
          <w:sz w:val="75"/>
          <w:szCs w:val="75"/>
        </w:rPr>
      </w:pPr>
      <w:r>
        <w:rPr>
          <w:rFonts w:ascii="SimSun" w:hAnsi="SimSun" w:eastAsia="SimSun" w:cs="SimSun"/>
          <w:sz w:val="75"/>
          <w:szCs w:val="75"/>
          <w:b/>
          <w:bCs/>
          <w:color w:val="E51F01"/>
          <w:spacing w:val="39"/>
        </w:rPr>
        <w:t>宁波市住房和城乡建设局</w:t>
      </w:r>
    </w:p>
    <w:p>
      <w:pPr>
        <w:spacing w:before="69" w:line="160" w:lineRule="exact"/>
        <w:textAlignment w:val="center"/>
        <w:rPr/>
      </w:pPr>
      <w:r>
        <w:drawing>
          <wp:inline distT="0" distB="0" distL="0" distR="0">
            <wp:extent cx="6134138" cy="10157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34138" cy="1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496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7"/>
        </w:rPr>
        <w:t>关于再次征求《关于优化建筑工地实名制考勤</w:t>
      </w:r>
    </w:p>
    <w:p>
      <w:pPr>
        <w:ind w:left="1616"/>
        <w:spacing w:before="168" w:line="700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  <w:position w:val="17"/>
        </w:rPr>
        <w:t>负面信息信用惩戒和申诉的通知》</w:t>
      </w:r>
    </w:p>
    <w:p>
      <w:pPr>
        <w:ind w:left="2666"/>
        <w:spacing w:before="1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0"/>
        </w:rPr>
        <w:t>(征求意见稿)意见的函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90" w:right="409"/>
        <w:spacing w:before="107" w:line="274" w:lineRule="auto"/>
        <w:jc w:val="both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5"/>
        </w:rPr>
        <w:t>各区(县、市)、开发园区住房城乡建设主管部门，市建筑市场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7"/>
        </w:rPr>
        <w:t>总站、市建设安质总站，市建筑业协会、市市政行业协会、市</w:t>
      </w:r>
      <w:r>
        <w:rPr>
          <w:rFonts w:ascii="SimSun" w:hAnsi="SimSun" w:eastAsia="SimSun" w:cs="SimSun"/>
          <w:sz w:val="33"/>
          <w:szCs w:val="33"/>
          <w:spacing w:val="-18"/>
        </w:rPr>
        <w:t>建</w:t>
      </w:r>
    </w:p>
    <w:p>
      <w:pPr>
        <w:ind w:left="490"/>
        <w:spacing w:before="1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7"/>
        </w:rPr>
        <w:t>设监理与招投标咨询行业协会：</w:t>
      </w:r>
    </w:p>
    <w:p>
      <w:pPr>
        <w:ind w:left="490" w:right="285" w:firstLine="649"/>
        <w:spacing w:before="147" w:line="267" w:lineRule="auto"/>
        <w:jc w:val="both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8"/>
        </w:rPr>
        <w:t>为进一步规范实名制管理工作，市住建局起草了《关于优化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2"/>
        </w:rPr>
        <w:t>建筑工地实名制考勤负面信息信用惩戒和申诉的通知》(征求意</w:t>
      </w:r>
      <w:r>
        <w:rPr>
          <w:rFonts w:ascii="SimSun" w:hAnsi="SimSun" w:eastAsia="SimSun" w:cs="SimSun"/>
          <w:sz w:val="33"/>
          <w:szCs w:val="33"/>
          <w:spacing w:val="11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5"/>
        </w:rPr>
        <w:t>见稿),并在前期征求意见的基础上进行了修改完善</w:t>
      </w:r>
      <w:r>
        <w:rPr>
          <w:rFonts w:ascii="SimSun" w:hAnsi="SimSun" w:eastAsia="SimSun" w:cs="SimSun"/>
          <w:sz w:val="33"/>
          <w:szCs w:val="33"/>
          <w:spacing w:val="-6"/>
        </w:rPr>
        <w:t>，现再次征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1"/>
        </w:rPr>
        <w:t>求你们意见。请各地建设主管部门认真研究(充分征求建筑市场</w:t>
      </w:r>
      <w:r>
        <w:rPr>
          <w:rFonts w:ascii="SimSun" w:hAnsi="SimSun" w:eastAsia="SimSun" w:cs="SimSun"/>
          <w:sz w:val="33"/>
          <w:szCs w:val="33"/>
          <w:spacing w:val="1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5"/>
        </w:rPr>
        <w:t>和工程质量安全监督机构意见建议);请各行业</w:t>
      </w:r>
      <w:r>
        <w:rPr>
          <w:rFonts w:ascii="SimSun" w:hAnsi="SimSun" w:eastAsia="SimSun" w:cs="SimSun"/>
          <w:sz w:val="33"/>
          <w:szCs w:val="33"/>
          <w:spacing w:val="-6"/>
        </w:rPr>
        <w:t>协会向市场主体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7"/>
        </w:rPr>
        <w:t>做好解释宣贯，充分征求行业企业意见建议并在此基础上研究论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1"/>
        </w:rPr>
        <w:t>证、总结归纳，避免简单“二传手”。请各单位于2月10日下午</w:t>
      </w:r>
      <w:r>
        <w:rPr>
          <w:rFonts w:ascii="SimSun" w:hAnsi="SimSun" w:eastAsia="SimSun" w:cs="SimSun"/>
          <w:sz w:val="33"/>
          <w:szCs w:val="33"/>
          <w:spacing w:val="10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"/>
        </w:rPr>
        <w:t>17:00前将修改意见以书面盖章形式反馈至市住建局(联系人：</w:t>
      </w:r>
      <w:r>
        <w:rPr>
          <w:rFonts w:ascii="SimSun" w:hAnsi="SimSun" w:eastAsia="SimSun" w:cs="SimSun"/>
          <w:sz w:val="33"/>
          <w:szCs w:val="33"/>
          <w:spacing w:val="1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"/>
        </w:rPr>
        <w:t>邢佳丽，联系电话：89180547),若无修改意见也请反馈。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1980" w:right="407" w:hanging="850"/>
        <w:spacing w:before="108" w:line="24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7"/>
        </w:rPr>
        <w:t>附件：关于优化建筑工地实名制考勤负面信息信</w:t>
      </w:r>
      <w:r>
        <w:rPr>
          <w:rFonts w:ascii="SimSun" w:hAnsi="SimSun" w:eastAsia="SimSun" w:cs="SimSun"/>
          <w:sz w:val="33"/>
          <w:szCs w:val="33"/>
          <w:spacing w:val="-18"/>
        </w:rPr>
        <w:t>用惩戒和申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11"/>
        </w:rPr>
        <w:t>诉的通知(征求意见稿)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5118" w:right="1691" w:hanging="609"/>
        <w:spacing w:before="107" w:line="24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5"/>
        </w:rPr>
        <w:t>宁波市住房和城乡建设局</w:t>
      </w:r>
      <w:r>
        <w:rPr>
          <w:rFonts w:ascii="SimSun" w:hAnsi="SimSun" w:eastAsia="SimSun" w:cs="SimSun"/>
          <w:sz w:val="33"/>
          <w:szCs w:val="33"/>
          <w:spacing w:val="2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36"/>
        </w:rPr>
        <w:t>2023年2月6日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firstLine="19"/>
        <w:spacing w:before="1" w:line="140" w:lineRule="exact"/>
        <w:textAlignment w:val="center"/>
        <w:rPr/>
      </w:pPr>
      <w:r>
        <w:drawing>
          <wp:inline distT="0" distB="0" distL="0" distR="0">
            <wp:extent cx="6127793" cy="8886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27793" cy="8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20"/>
          <w:pgMar w:top="1429" w:right="1029" w:bottom="0" w:left="1199" w:header="0" w:footer="0" w:gutter="0"/>
        </w:sectPr>
        <w:rPr/>
      </w:pPr>
    </w:p>
    <w:p>
      <w:pPr>
        <w:spacing w:line="418" w:lineRule="auto"/>
        <w:rPr>
          <w:rFonts w:ascii="Arial"/>
          <w:sz w:val="21"/>
        </w:rPr>
      </w:pPr>
      <w:r/>
    </w:p>
    <w:p>
      <w:pPr>
        <w:spacing w:before="10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spacing w:val="-15"/>
        </w:rPr>
        <w:t>附件：</w:t>
      </w:r>
    </w:p>
    <w:p>
      <w:pPr>
        <w:ind w:left="810"/>
        <w:spacing w:before="257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6"/>
        </w:rPr>
        <w:t>关于优化建筑工地实名制考勤负面信息</w:t>
      </w:r>
    </w:p>
    <w:p>
      <w:pPr>
        <w:ind w:left="2380"/>
        <w:spacing w:before="241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spacing w:val="-35"/>
        </w:rPr>
        <w:t>信用惩戒和申诉的通知</w:t>
      </w:r>
    </w:p>
    <w:p>
      <w:pPr>
        <w:ind w:left="3440"/>
        <w:spacing w:before="191" w:line="228" w:lineRule="auto"/>
        <w:rPr>
          <w:rFonts w:ascii="KaiTi" w:hAnsi="KaiTi" w:eastAsia="KaiTi" w:cs="KaiTi"/>
          <w:sz w:val="33"/>
          <w:szCs w:val="33"/>
        </w:rPr>
      </w:pPr>
      <w:r>
        <w:rPr>
          <w:rFonts w:ascii="KaiTi" w:hAnsi="KaiTi" w:eastAsia="KaiTi" w:cs="KaiTi"/>
          <w:sz w:val="33"/>
          <w:szCs w:val="33"/>
          <w:spacing w:val="5"/>
        </w:rPr>
        <w:t>(征求意见稿)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9" w:right="14" w:firstLine="630"/>
        <w:spacing w:before="107" w:line="337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7"/>
        </w:rPr>
        <w:t>建筑工人实名制管理是建设部、省建设厅统筹部署推进的</w:t>
      </w:r>
      <w:r>
        <w:rPr>
          <w:rFonts w:ascii="SimSun" w:hAnsi="SimSun" w:eastAsia="SimSun" w:cs="SimSun"/>
          <w:sz w:val="33"/>
          <w:szCs w:val="33"/>
          <w:spacing w:val="-18"/>
        </w:rPr>
        <w:t>工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7"/>
        </w:rPr>
        <w:t>作，实施以来，对规范我市建筑市场秩序、落实项目参建各方主</w:t>
      </w:r>
      <w:r>
        <w:rPr>
          <w:rFonts w:ascii="SimSun" w:hAnsi="SimSun" w:eastAsia="SimSun" w:cs="SimSun"/>
          <w:sz w:val="33"/>
          <w:szCs w:val="33"/>
          <w:spacing w:val="2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6"/>
        </w:rPr>
        <w:t>体责任、维护企业和从业人员合法权益发挥了重要作用。为进一</w:t>
      </w:r>
      <w:r>
        <w:rPr>
          <w:rFonts w:ascii="SimSun" w:hAnsi="SimSun" w:eastAsia="SimSun" w:cs="SimSun"/>
          <w:sz w:val="33"/>
          <w:szCs w:val="33"/>
          <w:spacing w:val="4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7"/>
        </w:rPr>
        <w:t>步扎实有序推进实名制管理工作，根据近期调研情况，以及有关</w:t>
      </w:r>
      <w:r>
        <w:rPr>
          <w:rFonts w:ascii="SimSun" w:hAnsi="SimSun" w:eastAsia="SimSun" w:cs="SimSun"/>
          <w:sz w:val="33"/>
          <w:szCs w:val="33"/>
          <w:spacing w:val="9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6"/>
        </w:rPr>
        <w:t>企业和各地建设主管部门反馈意见，现就优化建筑工地实名制考</w:t>
      </w:r>
    </w:p>
    <w:p>
      <w:pPr>
        <w:ind w:left="50"/>
        <w:spacing w:before="2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6"/>
        </w:rPr>
        <w:t>勤负面信息信用惩戒和申诉工作通知如下：</w:t>
      </w:r>
    </w:p>
    <w:p>
      <w:pPr>
        <w:ind w:left="640"/>
        <w:spacing w:before="182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spacing w:val="-10"/>
        </w:rPr>
        <w:t>一、调整实名制考勤负面信息信用扣分标准</w:t>
      </w:r>
    </w:p>
    <w:p>
      <w:pPr>
        <w:ind w:left="19" w:firstLine="770"/>
        <w:spacing w:before="201" w:line="337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10"/>
        </w:rPr>
        <w:t>(一)当施工(监理)企业某一项目连续4天及以上缺勤时</w:t>
      </w:r>
      <w:r>
        <w:rPr>
          <w:rFonts w:ascii="SimSun" w:hAnsi="SimSun" w:eastAsia="SimSun" w:cs="SimSun"/>
          <w:sz w:val="33"/>
          <w:szCs w:val="33"/>
          <w:spacing w:val="1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0"/>
        </w:rPr>
        <w:t>扣除该项目管理评价分，扣分标准详见附件1。扣分记录在</w:t>
      </w:r>
      <w:r>
        <w:rPr>
          <w:rFonts w:ascii="SimSun" w:hAnsi="SimSun" w:eastAsia="SimSun" w:cs="SimSun"/>
          <w:sz w:val="33"/>
          <w:szCs w:val="33"/>
          <w:spacing w:val="-11"/>
        </w:rPr>
        <w:t>评价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3"/>
        </w:rPr>
        <w:t>周期(按季度)内有效，</w:t>
      </w:r>
      <w:r>
        <w:rPr>
          <w:rFonts w:ascii="SimSun" w:hAnsi="SimSun" w:eastAsia="SimSun" w:cs="SimSun"/>
          <w:sz w:val="33"/>
          <w:szCs w:val="33"/>
          <w:spacing w:val="90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3"/>
        </w:rPr>
        <w:t>一次连续缺勤记录扣分一次，该项目缺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4"/>
        </w:rPr>
        <w:t>勤扣分在评价周期(按季度)内按扣分次数取平均值，该分值</w:t>
      </w:r>
      <w:r>
        <w:rPr>
          <w:rFonts w:ascii="SimSun" w:hAnsi="SimSun" w:eastAsia="SimSun" w:cs="SimSun"/>
          <w:sz w:val="33"/>
          <w:szCs w:val="33"/>
          <w:spacing w:val="-5"/>
        </w:rPr>
        <w:t>在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6"/>
        </w:rPr>
        <w:t>项目排名赋分后扣除，形成最终的项目管理评价分。项目缺勤扣</w:t>
      </w:r>
    </w:p>
    <w:p>
      <w:pPr>
        <w:ind w:left="29"/>
        <w:spacing w:before="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9"/>
        </w:rPr>
        <w:t>分按如下公式计算：</w:t>
      </w:r>
    </w:p>
    <w:p>
      <w:pPr>
        <w:ind w:firstLine="640"/>
        <w:spacing w:before="14" w:line="1180" w:lineRule="exact"/>
        <w:textAlignment w:val="center"/>
        <w:rPr/>
      </w:pPr>
      <w:r>
        <w:drawing>
          <wp:inline distT="0" distB="0" distL="0" distR="0">
            <wp:extent cx="2044637" cy="74925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44637" cy="7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spacing w:before="60" w:line="580" w:lineRule="exact"/>
        <w:textAlignment w:val="center"/>
        <w:rPr/>
      </w:pPr>
      <w:r>
        <w:drawing>
          <wp:inline distT="0" distB="0" distL="0" distR="0">
            <wp:extent cx="2927312" cy="36827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7312" cy="3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20"/>
          <w:pgMar w:top="1429" w:right="1472" w:bottom="0" w:left="1599" w:header="0" w:footer="0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ind w:left="599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Si</w:t>
      </w:r>
      <w:r>
        <w:rPr>
          <w:rFonts w:ascii="SimSun" w:hAnsi="SimSun" w:eastAsia="SimSun" w:cs="SimSun"/>
          <w:sz w:val="32"/>
          <w:szCs w:val="32"/>
          <w:spacing w:val="4"/>
        </w:rPr>
        <w:t>:第一次连续缺勤计分值；</w:t>
      </w:r>
    </w:p>
    <w:p>
      <w:pPr>
        <w:ind w:left="599"/>
        <w:spacing w:before="221" w:line="60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position w:val="21"/>
        </w:rPr>
        <w:t>Sn</w:t>
      </w:r>
      <w:r>
        <w:rPr>
          <w:rFonts w:ascii="SimSun" w:hAnsi="SimSun" w:eastAsia="SimSun" w:cs="SimSun"/>
          <w:sz w:val="32"/>
          <w:szCs w:val="32"/>
          <w:spacing w:val="7"/>
          <w:position w:val="21"/>
        </w:rPr>
        <w:t>:第n次连续缺勤计分值，n≥2;</w:t>
      </w:r>
    </w:p>
    <w:p>
      <w:pPr>
        <w:ind w:left="59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Di</w:t>
      </w:r>
      <w:r>
        <w:rPr>
          <w:rFonts w:ascii="SimSun" w:hAnsi="SimSun" w:eastAsia="SimSun" w:cs="SimSun"/>
          <w:sz w:val="32"/>
          <w:szCs w:val="32"/>
          <w:spacing w:val="10"/>
        </w:rPr>
        <w:t>:第一次连续缺勤天数；</w:t>
      </w:r>
    </w:p>
    <w:p>
      <w:pPr>
        <w:ind w:left="599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Dn</w:t>
      </w:r>
      <w:r>
        <w:rPr>
          <w:rFonts w:ascii="SimSun" w:hAnsi="SimSun" w:eastAsia="SimSun" w:cs="SimSun"/>
          <w:sz w:val="32"/>
          <w:szCs w:val="32"/>
          <w:spacing w:val="12"/>
        </w:rPr>
        <w:t>:第n次连续缺勤天数，n≥2;</w:t>
      </w:r>
    </w:p>
    <w:p>
      <w:pPr>
        <w:ind w:left="599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T:周期内各次连续缺勤计分值的平均分；</w:t>
      </w:r>
    </w:p>
    <w:p>
      <w:pPr>
        <w:ind w:left="599"/>
        <w:spacing w:before="242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int:是将一个要取整的实数向下取整为最接近的整数；</w:t>
      </w:r>
    </w:p>
    <w:p>
      <w:pPr>
        <w:ind w:left="599"/>
        <w:spacing w:before="210" w:line="59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  <w:position w:val="20"/>
        </w:rPr>
        <w:t>施工和监理项目扣分公式一致，计算监理项目扣分时公式中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的数值2、0.5改为1、0.25。</w:t>
      </w:r>
    </w:p>
    <w:p>
      <w:pPr>
        <w:ind w:right="122" w:firstLine="760"/>
        <w:spacing w:before="231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(二)市住建局将每月汇总无工人考勤、关键岗位人员缺勤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8"/>
        </w:rPr>
        <w:t>项目清单进行晾晒。对企业管理失责、项目部失管失控导致考勤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问题严重的企业定期开展通报，予以信用扣分。</w:t>
      </w:r>
    </w:p>
    <w:p>
      <w:pPr>
        <w:ind w:left="604"/>
        <w:spacing w:before="203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二、</w:t>
      </w:r>
      <w:r>
        <w:rPr>
          <w:rFonts w:ascii="SimHei" w:hAnsi="SimHei" w:eastAsia="SimHei" w:cs="SimHei"/>
          <w:sz w:val="32"/>
          <w:szCs w:val="32"/>
          <w:spacing w:val="-7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优化信用系统项目状态认定标准</w:t>
      </w:r>
    </w:p>
    <w:p>
      <w:pPr>
        <w:ind w:left="760"/>
        <w:spacing w:before="222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(一)新建项目考勤自录入工程质安监交底会议组织之日起</w:t>
      </w:r>
    </w:p>
    <w:p>
      <w:pPr>
        <w:ind w:right="72"/>
        <w:spacing w:before="216" w:line="3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10</w:t>
      </w:r>
      <w:r>
        <w:rPr>
          <w:rFonts w:ascii="SimSun" w:hAnsi="SimSun" w:eastAsia="SimSun" w:cs="SimSun"/>
          <w:sz w:val="32"/>
          <w:szCs w:val="32"/>
          <w:spacing w:val="-24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日后开始，工程质安监交底时，应将属地实名制考勤主管部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门联系方式以及宁波市建筑工人信息管理平台常见问题解答(附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件2)告知企业或项目部，并及时在信用系统录入</w:t>
      </w:r>
      <w:r>
        <w:rPr>
          <w:rFonts w:ascii="SimSun" w:hAnsi="SimSun" w:eastAsia="SimSun" w:cs="SimSun"/>
          <w:sz w:val="32"/>
          <w:szCs w:val="32"/>
          <w:spacing w:val="4"/>
        </w:rPr>
        <w:t>工程质安监交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7"/>
        </w:rPr>
        <w:t>底时间。工程质安监交底会议后，因故需延迟开工的，施工企业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7</w:t>
      </w:r>
      <w:r>
        <w:rPr>
          <w:rFonts w:ascii="SimSun" w:hAnsi="SimSun" w:eastAsia="SimSun" w:cs="SimSun"/>
          <w:sz w:val="32"/>
          <w:szCs w:val="32"/>
          <w:spacing w:val="-7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日内应及时在信用系统申请，经项目所属建设主管</w:t>
      </w:r>
      <w:r>
        <w:rPr>
          <w:rFonts w:ascii="SimSun" w:hAnsi="SimSun" w:eastAsia="SimSun" w:cs="SimSun"/>
          <w:sz w:val="32"/>
          <w:szCs w:val="32"/>
          <w:spacing w:val="-5"/>
        </w:rPr>
        <w:t>部门或其委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托的监管机构确认后，可延迟至实际开工时间(不得超过施工许</w:t>
      </w:r>
      <w:r>
        <w:rPr>
          <w:rFonts w:ascii="SimSun" w:hAnsi="SimSun" w:eastAsia="SimSun" w:cs="SimSun"/>
          <w:sz w:val="32"/>
          <w:szCs w:val="32"/>
          <w:spacing w:val="1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0"/>
        </w:rPr>
        <w:t>可证有效期)。</w:t>
      </w:r>
    </w:p>
    <w:p>
      <w:pPr>
        <w:ind w:left="760"/>
        <w:spacing w:before="20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(二)因故需临时停工项目由施工单位在信用系</w:t>
      </w:r>
      <w:r>
        <w:rPr>
          <w:rFonts w:ascii="SimSun" w:hAnsi="SimSun" w:eastAsia="SimSun" w:cs="SimSun"/>
          <w:sz w:val="32"/>
          <w:szCs w:val="32"/>
          <w:spacing w:val="3"/>
        </w:rPr>
        <w:t>统内申请，</w:t>
      </w:r>
    </w:p>
    <w:p>
      <w:pPr>
        <w:spacing w:before="20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项目所属建设主管部门或其委托的监管机构确认后暂停考勤。长</w:t>
      </w:r>
    </w:p>
    <w:p>
      <w:pPr>
        <w:sectPr>
          <w:pgSz w:w="11900" w:h="16820"/>
          <w:pgMar w:top="1429" w:right="1420" w:bottom="0" w:left="1619" w:header="0" w:footer="0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ind w:right="142"/>
        <w:spacing w:before="101" w:line="357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期停工项目(3个月及以上)由施工单位在信用系统内申请项目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延期开工，项目所属建设主管部门或其委托的监管机构在信用系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统上传《建设工程中止施工安全监督告知书》后暂停考勤</w:t>
      </w:r>
      <w:r>
        <w:rPr>
          <w:rFonts w:ascii="SimSun" w:hAnsi="SimSun" w:eastAsia="SimSun" w:cs="SimSun"/>
          <w:sz w:val="31"/>
          <w:szCs w:val="31"/>
          <w:spacing w:val="2"/>
        </w:rPr>
        <w:t>。如遇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特殊天气、重大活动、春节假期等特殊因素或不可抗力</w:t>
      </w:r>
      <w:r>
        <w:rPr>
          <w:rFonts w:ascii="SimSun" w:hAnsi="SimSun" w:eastAsia="SimSun" w:cs="SimSun"/>
          <w:sz w:val="31"/>
          <w:szCs w:val="31"/>
          <w:spacing w:val="2"/>
        </w:rPr>
        <w:t>导致无法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施工的，由项目所属建设主管部门或其委托的监管机构</w:t>
      </w:r>
      <w:r>
        <w:rPr>
          <w:rFonts w:ascii="SimSun" w:hAnsi="SimSun" w:eastAsia="SimSun" w:cs="SimSun"/>
          <w:sz w:val="31"/>
          <w:szCs w:val="31"/>
          <w:spacing w:val="2"/>
        </w:rPr>
        <w:t>统一设置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</w:rPr>
        <w:t>暂停考勤。</w:t>
      </w:r>
    </w:p>
    <w:p>
      <w:pPr>
        <w:ind w:left="770"/>
        <w:spacing w:before="24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(三)项目终止考勤</w:t>
      </w:r>
    </w:p>
    <w:p>
      <w:pPr>
        <w:ind w:right="115" w:firstLine="630"/>
        <w:spacing w:before="237" w:line="35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6"/>
        </w:rPr>
        <w:t>1.项目终止考勤依据分为两类：</w:t>
      </w:r>
      <w:r>
        <w:rPr>
          <w:rFonts w:ascii="SimSun" w:hAnsi="SimSun" w:eastAsia="SimSun" w:cs="SimSun"/>
          <w:sz w:val="31"/>
          <w:szCs w:val="31"/>
          <w:spacing w:val="10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6"/>
        </w:rPr>
        <w:t>一是项目实际已完工，由项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目所属建设主管部门或其委托的监管机构上传《建设工程终止施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工安全监督告知书》作为终止考勤依据。二是项目施工单位于信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用系统上传《单位工程(工程项目)竣工报告》或市政项目初验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会议纪要，经项目所属建设主管部门或其委托的监管机构审</w:t>
      </w:r>
      <w:r>
        <w:rPr>
          <w:rFonts w:ascii="SimSun" w:hAnsi="SimSun" w:eastAsia="SimSun" w:cs="SimSun"/>
          <w:sz w:val="31"/>
          <w:szCs w:val="31"/>
          <w:spacing w:val="2"/>
        </w:rPr>
        <w:t>核通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过后，将竣工报告签署时间或初验会议纪要时间作为终止考勤依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9"/>
        </w:rPr>
        <w:t>据。</w:t>
      </w:r>
    </w:p>
    <w:p>
      <w:pPr>
        <w:ind w:right="113" w:firstLine="630"/>
        <w:spacing w:before="217" w:line="35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2.项目实际完工时间至上传《建设工程终止</w:t>
      </w:r>
      <w:r>
        <w:rPr>
          <w:rFonts w:ascii="SimSun" w:hAnsi="SimSun" w:eastAsia="SimSun" w:cs="SimSun"/>
          <w:sz w:val="31"/>
          <w:szCs w:val="31"/>
          <w:spacing w:val="3"/>
        </w:rPr>
        <w:t>施工安全监督告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知书》时间内、竣工报告签署时间或初验会议纪要时间至上传审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核通过时间内发生的缺勤记录自动撤销，跨季度已产生的信用等</w:t>
      </w:r>
    </w:p>
    <w:p>
      <w:pPr>
        <w:spacing w:before="1"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级不予以调整。</w:t>
      </w:r>
    </w:p>
    <w:p>
      <w:pPr>
        <w:ind w:left="634"/>
        <w:spacing w:before="296" w:line="220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三、</w:t>
      </w:r>
      <w:r>
        <w:rPr>
          <w:rFonts w:ascii="SimHei" w:hAnsi="SimHei" w:eastAsia="SimHei" w:cs="SimHei"/>
          <w:sz w:val="31"/>
          <w:szCs w:val="31"/>
          <w:spacing w:val="-6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严肃实名制考勤异议申诉</w:t>
      </w:r>
    </w:p>
    <w:p>
      <w:pPr>
        <w:ind w:right="120" w:firstLine="700"/>
        <w:spacing w:before="239" w:line="351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申诉类型分为主管部门原因、市管理平台原因、不可抗</w:t>
      </w:r>
      <w:r>
        <w:rPr>
          <w:rFonts w:ascii="SimSun" w:hAnsi="SimSun" w:eastAsia="SimSun" w:cs="SimSun"/>
          <w:sz w:val="31"/>
          <w:szCs w:val="31"/>
        </w:rPr>
        <w:t>力或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特殊因素等三种，企业或项目部原因不予申诉。项目所属建设主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管部门或其委托的监管机构按《实名制考情异议申诉分类目录》</w:t>
      </w:r>
    </w:p>
    <w:p>
      <w:pPr>
        <w:sectPr>
          <w:pgSz w:w="11900" w:h="16820"/>
          <w:pgMar w:top="1429" w:right="1375" w:bottom="0" w:left="1619" w:header="0" w:footer="0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/>
    </w:p>
    <w:p>
      <w:pPr>
        <w:ind w:left="155" w:right="41" w:firstLine="140"/>
        <w:spacing w:before="101" w:line="36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(附件3)所列情形提出异议申请，并填写《考勤信息异议申请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1"/>
        </w:rPr>
        <w:t>表》(附件4),申请材料于每月20日前通过市住建</w:t>
      </w:r>
      <w:r>
        <w:rPr>
          <w:rFonts w:ascii="SimSun" w:hAnsi="SimSun" w:eastAsia="SimSun" w:cs="SimSun"/>
          <w:sz w:val="31"/>
          <w:szCs w:val="31"/>
        </w:rPr>
        <w:t>OA</w:t>
      </w:r>
      <w:r>
        <w:rPr>
          <w:rFonts w:ascii="SimSun" w:hAnsi="SimSun" w:eastAsia="SimSun" w:cs="SimSun"/>
          <w:sz w:val="31"/>
          <w:szCs w:val="31"/>
          <w:spacing w:val="50"/>
        </w:rPr>
        <w:t>系统</w:t>
      </w:r>
    </w:p>
    <w:p>
      <w:pPr>
        <w:ind w:left="155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报送，逾期顺延至下月受理。</w:t>
      </w:r>
    </w:p>
    <w:p>
      <w:pPr>
        <w:ind w:left="799"/>
        <w:spacing w:before="201" w:line="21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四、</w:t>
      </w:r>
      <w:r>
        <w:rPr>
          <w:rFonts w:ascii="SimHei" w:hAnsi="SimHei" w:eastAsia="SimHei" w:cs="SimHei"/>
          <w:sz w:val="31"/>
          <w:szCs w:val="31"/>
          <w:spacing w:val="-5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强化监督服务并举，两场管理联动</w:t>
      </w:r>
    </w:p>
    <w:p>
      <w:pPr>
        <w:ind w:left="155" w:right="19" w:firstLine="650"/>
        <w:spacing w:before="260" w:line="358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各地要充分认识严格落实实名制考勤是压实项目部关键岗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位人员责任，遏制质量安全事故，有力打击挂靠、转包、违法</w:t>
      </w:r>
      <w:r>
        <w:rPr>
          <w:rFonts w:ascii="SimSun" w:hAnsi="SimSun" w:eastAsia="SimSun" w:cs="SimSun"/>
          <w:sz w:val="31"/>
          <w:szCs w:val="31"/>
          <w:spacing w:val="2"/>
        </w:rPr>
        <w:t>分</w:t>
      </w:r>
    </w:p>
    <w:p>
      <w:pPr>
        <w:ind w:left="155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包行为和规范建筑市场秩序的重要抓手。</w:t>
      </w:r>
    </w:p>
    <w:p>
      <w:pPr>
        <w:ind w:left="155" w:right="28" w:firstLine="780"/>
        <w:spacing w:before="245" w:line="351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(一)服务在先，通过项目质量安全和市场监管交底会议制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8"/>
        </w:rPr>
        <w:t>度将实名制考勤规定、操作细则、信用管理和“断网断线”“数据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滞留”等项目参建各方关心关注的问题详细说明、悉心解答。实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名制考勤工作企业负责人员或其联系方式发生变化的，要指导督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促及时在系统平台变更。要加强经办操作人员业务培训，提高工</w:t>
      </w:r>
    </w:p>
    <w:p>
      <w:pPr>
        <w:ind w:left="155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作责任心，健全审查核查流程。</w:t>
      </w:r>
    </w:p>
    <w:p>
      <w:pPr>
        <w:ind w:left="154" w:right="20" w:firstLine="780"/>
        <w:spacing w:before="223" w:line="351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(二)严格监督，建立全市统筹大局意识，严肃</w:t>
      </w:r>
      <w:r>
        <w:rPr>
          <w:rFonts w:ascii="SimSun" w:hAnsi="SimSun" w:eastAsia="SimSun" w:cs="SimSun"/>
          <w:sz w:val="31"/>
          <w:szCs w:val="31"/>
          <w:spacing w:val="9"/>
        </w:rPr>
        <w:t>认真甄别实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名制考勤负面信息产生原因，加强事先预防和事后查改，避免为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8"/>
        </w:rPr>
        <w:t>企业无原则“挑担”。市住建局每季度对各地异议申请情况进行晾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晒。要全力配合做好实名制考勤设备数据直连技术改造，严厉打</w:t>
      </w:r>
    </w:p>
    <w:p>
      <w:pPr>
        <w:ind w:left="155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击第三方平台考勤信息造假行为。</w:t>
      </w:r>
    </w:p>
    <w:p>
      <w:pPr>
        <w:ind w:firstLine="935"/>
        <w:spacing w:before="221" w:line="352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(三)加强协同，通过实名制考勤平台和施工现场动态检查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“线上+线下”双向发力，进一步落实企业和项目部主体责任，规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范用工管理和务工行为，从源头遏制市场行为问题</w:t>
      </w:r>
      <w:r>
        <w:rPr>
          <w:rFonts w:ascii="SimSun" w:hAnsi="SimSun" w:eastAsia="SimSun" w:cs="SimSun"/>
          <w:sz w:val="31"/>
          <w:szCs w:val="31"/>
          <w:spacing w:val="7"/>
        </w:rPr>
        <w:t>引发的欠薪欠</w:t>
      </w:r>
    </w:p>
    <w:p>
      <w:pPr>
        <w:ind w:left="155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款等顽瘴痼疾，提高施工现场安全质量管控能力。</w:t>
      </w:r>
    </w:p>
    <w:p>
      <w:pPr>
        <w:sectPr>
          <w:pgSz w:w="11900" w:h="16820"/>
          <w:pgMar w:top="1429" w:right="1474" w:bottom="0" w:left="1464" w:header="0" w:footer="0" w:gutter="0"/>
        </w:sectPr>
        <w:rPr/>
      </w:pPr>
    </w:p>
    <w:p>
      <w:pPr>
        <w:spacing w:line="298" w:lineRule="auto"/>
        <w:rPr>
          <w:rFonts w:ascii="Arial"/>
          <w:sz w:val="21"/>
        </w:rPr>
      </w:pPr>
      <w:r/>
    </w:p>
    <w:p>
      <w:pPr>
        <w:ind w:left="485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本通知自2023年3月1</w:t>
      </w:r>
      <w:r>
        <w:rPr>
          <w:rFonts w:ascii="SimSun" w:hAnsi="SimSun" w:eastAsia="SimSun" w:cs="SimSun"/>
          <w:sz w:val="31"/>
          <w:szCs w:val="31"/>
          <w:spacing w:val="-5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日起执行。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495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附件：1.项目缺勤扣分标准</w:t>
      </w:r>
    </w:p>
    <w:p>
      <w:pPr>
        <w:ind w:left="1395"/>
        <w:spacing w:before="233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  <w:position w:val="21"/>
        </w:rPr>
        <w:t>2.宁波市建筑工人信息管理平台常见问题解答</w:t>
      </w:r>
    </w:p>
    <w:p>
      <w:pPr>
        <w:ind w:left="1395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3.实名制考情异议申诉分类目录</w:t>
      </w:r>
    </w:p>
    <w:p>
      <w:pPr>
        <w:ind w:left="1395"/>
        <w:spacing w:before="23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4.考勤信息异议申请表</w:t>
      </w:r>
    </w:p>
    <w:p>
      <w:pPr>
        <w:sectPr>
          <w:pgSz w:w="11900" w:h="16820"/>
          <w:pgMar w:top="1429" w:right="1785" w:bottom="0" w:left="1785" w:header="0" w:footer="0" w:gutter="0"/>
        </w:sectPr>
        <w:rPr/>
      </w:pPr>
    </w:p>
    <w:p>
      <w:pPr>
        <w:ind w:left="639"/>
        <w:spacing w:before="343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8"/>
        </w:rPr>
        <w:t>附件1</w:t>
      </w:r>
    </w:p>
    <w:p>
      <w:pPr>
        <w:ind w:left="3281"/>
        <w:spacing w:before="287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4"/>
        </w:rPr>
        <w:t>项目缺勤扣分标准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ind w:left="634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</w:rPr>
        <w:t>一、首次连续4天及以上缺勤扣分</w:t>
      </w:r>
    </w:p>
    <w:p>
      <w:pPr>
        <w:spacing w:line="84" w:lineRule="exact"/>
        <w:rPr/>
      </w:pPr>
      <w:r/>
    </w:p>
    <w:tbl>
      <w:tblPr>
        <w:tblStyle w:val="2"/>
        <w:tblW w:w="10050" w:type="dxa"/>
        <w:tblInd w:w="3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23"/>
        <w:gridCol w:w="1878"/>
        <w:gridCol w:w="1988"/>
        <w:gridCol w:w="1978"/>
        <w:gridCol w:w="1983"/>
      </w:tblGrid>
      <w:tr>
        <w:trPr>
          <w:trHeight w:val="1240" w:hRule="atLeast"/>
        </w:trPr>
        <w:tc>
          <w:tcPr>
            <w:tcW w:w="2223" w:type="dxa"/>
            <w:vAlign w:val="top"/>
            <w:tcBorders>
              <w:tl2br w:val="single" w:color="000000" w:sz="4" w:space="0"/>
            </w:tcBorders>
          </w:tcPr>
          <w:p>
            <w:pPr>
              <w:ind w:left="815"/>
              <w:spacing w:before="167" w:line="641" w:lineRule="exact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3"/>
                <w:position w:val="23"/>
              </w:rPr>
              <w:t>缺勤天数</w:t>
            </w:r>
          </w:p>
          <w:p>
            <w:pPr>
              <w:ind w:left="95"/>
              <w:spacing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5"/>
              </w:rPr>
              <w:t>企业类型</w:t>
            </w:r>
          </w:p>
        </w:tc>
        <w:tc>
          <w:tcPr>
            <w:tcW w:w="187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512"/>
              <w:spacing w:before="107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6"/>
              </w:rPr>
              <w:t>4-7天</w:t>
            </w:r>
          </w:p>
        </w:tc>
        <w:tc>
          <w:tcPr>
            <w:tcW w:w="198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94"/>
              <w:spacing w:before="107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5"/>
              </w:rPr>
              <w:t>8-11天</w:t>
            </w:r>
          </w:p>
        </w:tc>
        <w:tc>
          <w:tcPr>
            <w:tcW w:w="197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06"/>
              <w:spacing w:before="107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3"/>
              </w:rPr>
              <w:t>12-15天</w:t>
            </w:r>
          </w:p>
        </w:tc>
        <w:tc>
          <w:tcPr>
            <w:tcW w:w="198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107"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每连续4天</w:t>
            </w:r>
          </w:p>
        </w:tc>
      </w:tr>
      <w:tr>
        <w:trPr>
          <w:trHeight w:val="617" w:hRule="atLeast"/>
        </w:trPr>
        <w:tc>
          <w:tcPr>
            <w:tcW w:w="2223" w:type="dxa"/>
            <w:vAlign w:val="top"/>
          </w:tcPr>
          <w:p>
            <w:pPr>
              <w:ind w:left="775"/>
              <w:spacing w:before="163" w:line="222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9"/>
              </w:rPr>
              <w:t>施工</w:t>
            </w:r>
          </w:p>
        </w:tc>
        <w:tc>
          <w:tcPr>
            <w:tcW w:w="1878" w:type="dxa"/>
            <w:vAlign w:val="top"/>
          </w:tcPr>
          <w:p>
            <w:pPr>
              <w:ind w:left="682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2分</w:t>
            </w:r>
          </w:p>
        </w:tc>
        <w:tc>
          <w:tcPr>
            <w:tcW w:w="1988" w:type="dxa"/>
            <w:vAlign w:val="top"/>
          </w:tcPr>
          <w:p>
            <w:pPr>
              <w:ind w:left="574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2.5分</w:t>
            </w:r>
          </w:p>
        </w:tc>
        <w:tc>
          <w:tcPr>
            <w:tcW w:w="1978" w:type="dxa"/>
            <w:vAlign w:val="top"/>
          </w:tcPr>
          <w:p>
            <w:pPr>
              <w:ind w:left="736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3分</w:t>
            </w:r>
          </w:p>
        </w:tc>
        <w:tc>
          <w:tcPr>
            <w:tcW w:w="1983" w:type="dxa"/>
            <w:vAlign w:val="top"/>
          </w:tcPr>
          <w:p>
            <w:pPr>
              <w:ind w:left="488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+0.5分</w:t>
            </w:r>
          </w:p>
        </w:tc>
      </w:tr>
      <w:tr>
        <w:trPr>
          <w:trHeight w:val="632" w:hRule="atLeast"/>
        </w:trPr>
        <w:tc>
          <w:tcPr>
            <w:tcW w:w="2223" w:type="dxa"/>
            <w:vAlign w:val="top"/>
          </w:tcPr>
          <w:p>
            <w:pPr>
              <w:ind w:left="775"/>
              <w:spacing w:before="176" w:line="228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5"/>
              </w:rPr>
              <w:t>监理</w:t>
            </w:r>
          </w:p>
        </w:tc>
        <w:tc>
          <w:tcPr>
            <w:tcW w:w="1878" w:type="dxa"/>
            <w:vAlign w:val="top"/>
          </w:tcPr>
          <w:p>
            <w:pPr>
              <w:ind w:left="682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1分</w:t>
            </w:r>
          </w:p>
        </w:tc>
        <w:tc>
          <w:tcPr>
            <w:tcW w:w="1988" w:type="dxa"/>
            <w:vAlign w:val="top"/>
          </w:tcPr>
          <w:p>
            <w:pPr>
              <w:ind w:left="494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2"/>
              </w:rPr>
              <w:t>1.25分</w:t>
            </w:r>
          </w:p>
        </w:tc>
        <w:tc>
          <w:tcPr>
            <w:tcW w:w="1978" w:type="dxa"/>
            <w:vAlign w:val="top"/>
          </w:tcPr>
          <w:p>
            <w:pPr>
              <w:ind w:left="566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1.5分</w:t>
            </w:r>
          </w:p>
        </w:tc>
        <w:tc>
          <w:tcPr>
            <w:tcW w:w="1983" w:type="dxa"/>
            <w:vAlign w:val="top"/>
          </w:tcPr>
          <w:p>
            <w:pPr>
              <w:ind w:left="408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2"/>
              </w:rPr>
              <w:t>+0.25分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left="634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二、</w:t>
      </w:r>
      <w:r>
        <w:rPr>
          <w:rFonts w:ascii="SimSun" w:hAnsi="SimSun" w:eastAsia="SimSun" w:cs="SimSun"/>
          <w:sz w:val="32"/>
          <w:szCs w:val="32"/>
          <w:spacing w:val="-58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同一项目多次连续4天及以上缺勤扣分</w:t>
      </w:r>
    </w:p>
    <w:p>
      <w:pPr>
        <w:spacing w:line="104" w:lineRule="exact"/>
        <w:rPr/>
      </w:pPr>
      <w:r/>
    </w:p>
    <w:tbl>
      <w:tblPr>
        <w:tblStyle w:val="2"/>
        <w:tblW w:w="101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83"/>
        <w:gridCol w:w="1578"/>
        <w:gridCol w:w="1479"/>
        <w:gridCol w:w="1479"/>
        <w:gridCol w:w="1538"/>
        <w:gridCol w:w="1843"/>
      </w:tblGrid>
      <w:tr>
        <w:trPr>
          <w:trHeight w:val="1240" w:hRule="atLeast"/>
        </w:trPr>
        <w:tc>
          <w:tcPr>
            <w:tcW w:w="2183" w:type="dxa"/>
            <w:vAlign w:val="top"/>
            <w:tcBorders>
              <w:tl2br w:val="single" w:color="000000" w:sz="4" w:space="0"/>
            </w:tcBorders>
          </w:tcPr>
          <w:p>
            <w:pPr>
              <w:ind w:left="789"/>
              <w:spacing w:before="182" w:line="621" w:lineRule="exact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6"/>
                <w:position w:val="21"/>
              </w:rPr>
              <w:t>缺勤天数</w:t>
            </w:r>
          </w:p>
          <w:p>
            <w:pPr>
              <w:ind w:left="89"/>
              <w:spacing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1"/>
              </w:rPr>
              <w:t>企业类型</w:t>
            </w:r>
          </w:p>
        </w:tc>
        <w:tc>
          <w:tcPr>
            <w:tcW w:w="1578" w:type="dxa"/>
            <w:vAlign w:val="top"/>
          </w:tcPr>
          <w:p>
            <w:pPr>
              <w:ind w:left="126"/>
              <w:spacing w:before="182" w:line="621" w:lineRule="exact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2"/>
                <w:position w:val="21"/>
              </w:rPr>
              <w:t>前次缺勤</w:t>
            </w:r>
          </w:p>
          <w:p>
            <w:pPr>
              <w:ind w:left="126"/>
              <w:spacing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3"/>
              </w:rPr>
              <w:t>扣分总额</w:t>
            </w:r>
          </w:p>
        </w:tc>
        <w:tc>
          <w:tcPr>
            <w:tcW w:w="147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107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3"/>
              </w:rPr>
              <w:t>4-7天</w:t>
            </w:r>
          </w:p>
        </w:tc>
        <w:tc>
          <w:tcPr>
            <w:tcW w:w="147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107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</w:rPr>
              <w:t>8-11天</w:t>
            </w:r>
          </w:p>
        </w:tc>
        <w:tc>
          <w:tcPr>
            <w:tcW w:w="153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107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2"/>
              </w:rPr>
              <w:t>12-15天</w:t>
            </w:r>
          </w:p>
        </w:tc>
        <w:tc>
          <w:tcPr>
            <w:tcW w:w="184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107"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b/>
                <w:bCs/>
                <w:spacing w:val="-2"/>
              </w:rPr>
              <w:t>每连续4天</w:t>
            </w:r>
          </w:p>
        </w:tc>
      </w:tr>
      <w:tr>
        <w:trPr>
          <w:trHeight w:val="617" w:hRule="atLeast"/>
        </w:trPr>
        <w:tc>
          <w:tcPr>
            <w:tcW w:w="2183" w:type="dxa"/>
            <w:vAlign w:val="top"/>
          </w:tcPr>
          <w:p>
            <w:pPr>
              <w:ind w:left="755"/>
              <w:spacing w:before="163" w:line="222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9"/>
              </w:rPr>
              <w:t>施工</w:t>
            </w:r>
          </w:p>
        </w:tc>
        <w:tc>
          <w:tcPr>
            <w:tcW w:w="1578" w:type="dxa"/>
            <w:vAlign w:val="top"/>
          </w:tcPr>
          <w:p>
            <w:pPr>
              <w:ind w:left="531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x分</w:t>
            </w:r>
          </w:p>
        </w:tc>
        <w:tc>
          <w:tcPr>
            <w:tcW w:w="1479" w:type="dxa"/>
            <w:vAlign w:val="top"/>
          </w:tcPr>
          <w:p>
            <w:pPr>
              <w:ind w:left="113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3"/>
              </w:rPr>
              <w:t>x+0.5分</w:t>
            </w:r>
          </w:p>
        </w:tc>
        <w:tc>
          <w:tcPr>
            <w:tcW w:w="1479" w:type="dxa"/>
            <w:vAlign w:val="top"/>
          </w:tcPr>
          <w:p>
            <w:pPr>
              <w:ind w:left="315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x+1分</w:t>
            </w:r>
          </w:p>
        </w:tc>
        <w:tc>
          <w:tcPr>
            <w:tcW w:w="1538" w:type="dxa"/>
            <w:vAlign w:val="top"/>
          </w:tcPr>
          <w:p>
            <w:pPr>
              <w:ind w:left="145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3"/>
              </w:rPr>
              <w:t>x+1.5分</w:t>
            </w:r>
          </w:p>
        </w:tc>
        <w:tc>
          <w:tcPr>
            <w:tcW w:w="1843" w:type="dxa"/>
            <w:vAlign w:val="top"/>
          </w:tcPr>
          <w:p>
            <w:pPr>
              <w:ind w:left="417"/>
              <w:spacing w:before="159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+0.5分</w:t>
            </w:r>
          </w:p>
        </w:tc>
      </w:tr>
      <w:tr>
        <w:trPr>
          <w:trHeight w:val="622" w:hRule="atLeast"/>
        </w:trPr>
        <w:tc>
          <w:tcPr>
            <w:tcW w:w="2183" w:type="dxa"/>
            <w:vAlign w:val="top"/>
          </w:tcPr>
          <w:p>
            <w:pPr>
              <w:ind w:left="755"/>
              <w:spacing w:before="176" w:line="228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5"/>
              </w:rPr>
              <w:t>监理</w:t>
            </w:r>
          </w:p>
        </w:tc>
        <w:tc>
          <w:tcPr>
            <w:tcW w:w="1578" w:type="dxa"/>
            <w:vAlign w:val="top"/>
          </w:tcPr>
          <w:p>
            <w:pPr>
              <w:ind w:left="531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4"/>
              </w:rPr>
              <w:t>x分</w:t>
            </w:r>
          </w:p>
        </w:tc>
        <w:tc>
          <w:tcPr>
            <w:tcW w:w="1479" w:type="dxa"/>
            <w:vAlign w:val="top"/>
          </w:tcPr>
          <w:p>
            <w:pPr>
              <w:ind w:left="113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2"/>
              </w:rPr>
              <w:t>x+0.25分</w:t>
            </w:r>
          </w:p>
        </w:tc>
        <w:tc>
          <w:tcPr>
            <w:tcW w:w="1479" w:type="dxa"/>
            <w:vAlign w:val="top"/>
          </w:tcPr>
          <w:p>
            <w:pPr>
              <w:ind w:left="154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3"/>
              </w:rPr>
              <w:t>x+0.5分</w:t>
            </w:r>
          </w:p>
        </w:tc>
        <w:tc>
          <w:tcPr>
            <w:tcW w:w="1538" w:type="dxa"/>
            <w:vAlign w:val="top"/>
          </w:tcPr>
          <w:p>
            <w:pPr>
              <w:ind w:left="145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2"/>
              </w:rPr>
              <w:t>x+0.75分</w:t>
            </w:r>
          </w:p>
        </w:tc>
        <w:tc>
          <w:tcPr>
            <w:tcW w:w="1843" w:type="dxa"/>
            <w:vAlign w:val="top"/>
          </w:tcPr>
          <w:p>
            <w:pPr>
              <w:ind w:left="338"/>
              <w:spacing w:before="162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2"/>
              </w:rPr>
              <w:t>+0.25分</w:t>
            </w:r>
          </w:p>
        </w:tc>
      </w:tr>
    </w:tbl>
    <w:p>
      <w:pPr>
        <w:ind w:left="634"/>
        <w:spacing w:before="145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1"/>
        </w:rPr>
        <w:t>注：评价周期(按季度)内多次连续缺勤时，扣分为各次扣分的平均值。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34" w:right="736"/>
        <w:spacing w:before="104" w:line="36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例：某施工企业项目部首次连续无考勤记录共计分2分，第二次</w:t>
      </w:r>
      <w:r>
        <w:rPr>
          <w:rFonts w:ascii="SimSun" w:hAnsi="SimSun" w:eastAsia="SimSun" w:cs="SimSun"/>
          <w:sz w:val="32"/>
          <w:szCs w:val="32"/>
          <w:spacing w:val="1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3"/>
        </w:rPr>
        <w:t>连续无考勤记录4至7天时计2加0.5分，共2.5分，8至11天时</w:t>
      </w:r>
    </w:p>
    <w:p>
      <w:pPr>
        <w:ind w:left="634"/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4"/>
        </w:rPr>
        <w:t>计2加1分，共3分。</w:t>
      </w:r>
    </w:p>
    <w:p>
      <w:pPr>
        <w:sectPr>
          <w:pgSz w:w="11900" w:h="16820"/>
          <w:pgMar w:top="1429" w:right="815" w:bottom="0" w:left="974" w:header="0" w:footer="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ind w:left="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9"/>
        </w:rPr>
        <w:t>附件2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ind w:left="26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8"/>
        </w:rPr>
        <w:t>宁波市建筑工人信息管理平台常见问题解答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2" w:lineRule="auto"/>
        <w:rPr>
          <w:rFonts w:ascii="Arial"/>
          <w:sz w:val="21"/>
        </w:rPr>
      </w:pPr>
      <w:r/>
    </w:p>
    <w:p>
      <w:pPr>
        <w:ind w:left="634"/>
        <w:spacing w:before="104" w:line="610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  <w:position w:val="21"/>
        </w:rPr>
        <w:t>一、纳入宁波市建筑工人信息管理平台(以下简</w:t>
      </w:r>
      <w:r>
        <w:rPr>
          <w:rFonts w:ascii="SimHei" w:hAnsi="SimHei" w:eastAsia="SimHei" w:cs="SimHei"/>
          <w:sz w:val="32"/>
          <w:szCs w:val="32"/>
          <w:b/>
          <w:bCs/>
          <w:spacing w:val="-5"/>
          <w:position w:val="21"/>
        </w:rPr>
        <w:t>称“市工人</w:t>
      </w:r>
    </w:p>
    <w:p>
      <w:pPr>
        <w:ind w:left="4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平台”)实名制考勤的人员有那些?</w:t>
      </w:r>
    </w:p>
    <w:p>
      <w:pPr>
        <w:ind w:right="159" w:firstLine="630"/>
        <w:spacing w:before="214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进入施工现场的下列人员，均纳入实名制管理范畴：施工企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业的项目管理人员(包括项目经理、项目技术负责人、施工员、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安全员、质量员)、建筑工人；监理企业的项</w:t>
      </w:r>
      <w:r>
        <w:rPr>
          <w:rFonts w:ascii="SimSun" w:hAnsi="SimSun" w:eastAsia="SimSun" w:cs="SimSun"/>
          <w:sz w:val="32"/>
          <w:szCs w:val="32"/>
          <w:spacing w:val="4"/>
        </w:rPr>
        <w:t>目管理人员(包括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总监理工程师、专业监理工程师、监理员)。</w:t>
      </w:r>
    </w:p>
    <w:p>
      <w:pPr>
        <w:ind w:left="634"/>
        <w:spacing w:before="233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二、</w:t>
      </w:r>
      <w:r>
        <w:rPr>
          <w:rFonts w:ascii="SimHei" w:hAnsi="SimHei" w:eastAsia="SimHei" w:cs="SimHei"/>
          <w:sz w:val="32"/>
          <w:szCs w:val="32"/>
          <w:spacing w:val="-6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未收到工人平台实名制考勤缺勤短信怎么办?</w:t>
      </w:r>
    </w:p>
    <w:p>
      <w:pPr>
        <w:ind w:right="79" w:firstLine="700"/>
        <w:spacing w:before="205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9"/>
        </w:rPr>
        <w:t>目前，在建项目当日16:00前市工人平台未接收考勤信息的，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8"/>
        </w:rPr>
        <w:t>市工人平台自动发送提醒短信至企业法定代表人、项目经理、项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</w:rPr>
        <w:t>目总监。为便于企业及时掌握相关信息，系统将取消原企业法定</w:t>
      </w:r>
      <w:r>
        <w:rPr>
          <w:rFonts w:ascii="SimSun" w:hAnsi="SimSun" w:eastAsia="SimSun" w:cs="SimSun"/>
          <w:sz w:val="32"/>
          <w:szCs w:val="32"/>
          <w:spacing w:val="1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代表人接收实名制短信提醒方式，调整为企业实名制负责人(施</w:t>
      </w:r>
      <w:r>
        <w:rPr>
          <w:rFonts w:ascii="SimSun" w:hAnsi="SimSun" w:eastAsia="SimSun" w:cs="SimSun"/>
          <w:sz w:val="32"/>
          <w:szCs w:val="32"/>
          <w:spacing w:val="1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工、监理企业必填),请各企业务必确保上述所有接收人员联系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方式真实准确。</w:t>
      </w:r>
    </w:p>
    <w:p>
      <w:pPr>
        <w:ind w:left="634"/>
        <w:spacing w:before="21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三、</w:t>
      </w:r>
      <w:r>
        <w:rPr>
          <w:rFonts w:ascii="SimHei" w:hAnsi="SimHei" w:eastAsia="SimHei" w:cs="SimHei"/>
          <w:sz w:val="32"/>
          <w:szCs w:val="32"/>
          <w:spacing w:val="-6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实名制考勤打卡时间、数据归集时间是如何设定的?</w:t>
      </w:r>
    </w:p>
    <w:p>
      <w:pPr>
        <w:ind w:firstLine="630"/>
        <w:spacing w:before="211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4"/>
        </w:rPr>
        <w:t>实名制考勤打卡时间区间是每日的0点到24点，每日16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9"/>
        </w:rPr>
        <w:t>点提醒实名制考勤打卡，并不是统计截止时间。实名制考勤数据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归集则是延迟3天进行统计，如企业当日未上传实名制考</w:t>
      </w:r>
      <w:r>
        <w:rPr>
          <w:rFonts w:ascii="SimSun" w:hAnsi="SimSun" w:eastAsia="SimSun" w:cs="SimSun"/>
          <w:sz w:val="32"/>
          <w:szCs w:val="32"/>
          <w:spacing w:val="-5"/>
        </w:rPr>
        <w:t>勤数据，</w:t>
      </w:r>
    </w:p>
    <w:p>
      <w:pPr>
        <w:spacing w:before="2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可及时在明后天进行补传数据。</w:t>
      </w:r>
    </w:p>
    <w:p>
      <w:pPr>
        <w:sectPr>
          <w:pgSz w:w="11900" w:h="16820"/>
          <w:pgMar w:top="1429" w:right="1290" w:bottom="0" w:left="1609" w:header="0" w:footer="0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634"/>
        <w:spacing w:before="101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四、</w:t>
      </w:r>
      <w:r>
        <w:rPr>
          <w:rFonts w:ascii="SimHei" w:hAnsi="SimHei" w:eastAsia="SimHei" w:cs="SimHei"/>
          <w:sz w:val="31"/>
          <w:szCs w:val="31"/>
          <w:spacing w:val="-8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监理企业无法查看工人平台考勤信息怎么办?</w:t>
      </w:r>
    </w:p>
    <w:p>
      <w:pPr>
        <w:ind w:firstLine="629"/>
        <w:spacing w:before="246" w:line="357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市工人平台已开通监理企业登录权限，监理企业可输入信用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系统帐号登录工人平台，并及时对项目考勤记录进行查询。各企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业要重点关注缺勤等关键信息，及时掌握相关动态，加强企业实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名制考勤管理，避免因信息不对称造成的考勤扣分。</w:t>
      </w:r>
    </w:p>
    <w:p>
      <w:pPr>
        <w:ind w:left="634"/>
        <w:spacing w:before="225" w:line="219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五、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考勤设备断网短线、数据滞留如何解决?</w:t>
      </w:r>
    </w:p>
    <w:p>
      <w:pPr>
        <w:ind w:right="7" w:firstLine="629"/>
        <w:spacing w:before="237" w:line="358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项目部可选择4G或5G物联网卡作为实名制考勤设备</w:t>
      </w:r>
      <w:r>
        <w:rPr>
          <w:rFonts w:ascii="SimSun" w:hAnsi="SimSun" w:eastAsia="SimSun" w:cs="SimSun"/>
          <w:sz w:val="31"/>
          <w:szCs w:val="31"/>
          <w:spacing w:val="26"/>
        </w:rPr>
        <w:t>的网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络接入方式或作为备选链路，避免因断网断线导致的考勤数据滞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留。企业应密切关注市工人平台考勤信息上传情况，上传异常的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应及时联系服务商当天解决。</w:t>
      </w:r>
    </w:p>
    <w:p>
      <w:pPr>
        <w:ind w:left="634"/>
        <w:spacing w:before="211" w:line="21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8"/>
        </w:rPr>
        <w:t>六、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8"/>
        </w:rPr>
        <w:t>质安监交底后10天，仍不具备开工条件怎么办?</w:t>
      </w:r>
    </w:p>
    <w:p>
      <w:pPr>
        <w:ind w:right="14" w:firstLine="699"/>
        <w:spacing w:before="266" w:line="351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自2020年12月1日起，新建项目录入质安</w:t>
      </w:r>
      <w:r>
        <w:rPr>
          <w:rFonts w:ascii="SimSun" w:hAnsi="SimSun" w:eastAsia="SimSun" w:cs="SimSun"/>
          <w:sz w:val="31"/>
          <w:szCs w:val="31"/>
          <w:spacing w:val="27"/>
        </w:rPr>
        <w:t>监交底10日后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8"/>
        </w:rPr>
        <w:t>由筹备期进入“在建”状态，要求实名制考勤。若质安监交底后10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日内仍不具备开工条件，由施工单位在信用系统内申请项目延期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开工，延期时间最长为施工许可证发证时间后3个月内。项目开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工延期申请操作方式：登录市信用系统--左侧菜单栏--标段</w:t>
      </w:r>
      <w:r>
        <w:rPr>
          <w:rFonts w:ascii="SimSun" w:hAnsi="SimSun" w:eastAsia="SimSun" w:cs="SimSun"/>
          <w:sz w:val="31"/>
          <w:szCs w:val="31"/>
          <w:spacing w:val="11"/>
        </w:rPr>
        <w:t>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理&gt;&gt;在建&gt;&gt;在建项目列表操作栏内点【延期申请】&gt;&gt;填写延期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时间、原因等信息并保存，由管理部门审核通过后生效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</w:p>
    <w:p>
      <w:pPr>
        <w:ind w:left="634"/>
        <w:spacing w:before="205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七、项目停工、复工、人员解锁如何对应?</w:t>
      </w:r>
    </w:p>
    <w:p>
      <w:pPr>
        <w:ind w:left="629"/>
        <w:spacing w:before="244" w:line="63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  <w:position w:val="24"/>
        </w:rPr>
        <w:t>项目停工类型包括临时停工、长期停工、责令停工。临时停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工(3个月内)由施工单位申请，复工时间必填，临时停工</w:t>
      </w:r>
      <w:r>
        <w:rPr>
          <w:rFonts w:ascii="SimSun" w:hAnsi="SimSun" w:eastAsia="SimSun" w:cs="SimSun"/>
          <w:sz w:val="31"/>
          <w:szCs w:val="31"/>
          <w:spacing w:val="19"/>
        </w:rPr>
        <w:t>生效</w:t>
      </w:r>
    </w:p>
    <w:p>
      <w:pPr>
        <w:sectPr>
          <w:pgSz w:w="11900" w:h="16820"/>
          <w:pgMar w:top="1429" w:right="1482" w:bottom="0" w:left="1640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154"/>
        <w:spacing w:before="101" w:line="369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后可暂停考勤，项目管理人员不解锁；长期停工(3个月及以上)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由施工单位申请，复工时间不确定的可不填，长期</w:t>
      </w:r>
      <w:r>
        <w:rPr>
          <w:rFonts w:ascii="SimSun" w:hAnsi="SimSun" w:eastAsia="SimSun" w:cs="SimSun"/>
          <w:sz w:val="31"/>
          <w:szCs w:val="31"/>
          <w:spacing w:val="7"/>
        </w:rPr>
        <w:t>停工申请生效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后可暂停考勤，项目管理人员解锁。已停工的项目会</w:t>
      </w:r>
      <w:r>
        <w:rPr>
          <w:rFonts w:ascii="SimSun" w:hAnsi="SimSun" w:eastAsia="SimSun" w:cs="SimSun"/>
          <w:sz w:val="31"/>
          <w:szCs w:val="31"/>
          <w:spacing w:val="8"/>
        </w:rPr>
        <w:t>根据企业申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报时填写的预计复工时间自动复工，项目状态由“停工</w:t>
      </w:r>
      <w:r>
        <w:rPr>
          <w:rFonts w:ascii="SimSun" w:hAnsi="SimSun" w:eastAsia="SimSun" w:cs="SimSun"/>
          <w:sz w:val="31"/>
          <w:szCs w:val="31"/>
          <w:spacing w:val="7"/>
        </w:rPr>
        <w:t>”恢复为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“在建”。若项目因故延长停工时间或提前复工，则需施工企业在</w:t>
      </w:r>
    </w:p>
    <w:p>
      <w:pPr>
        <w:ind w:left="15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信用系统内提交相关申请，并由管理部门审核通过后生效。</w:t>
      </w:r>
    </w:p>
    <w:p>
      <w:pPr>
        <w:ind w:left="799"/>
        <w:spacing w:before="26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八、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停工日期的时间节点是如何计算的?</w:t>
      </w:r>
    </w:p>
    <w:p>
      <w:pPr>
        <w:ind w:left="145" w:right="32" w:firstLine="650"/>
        <w:spacing w:before="271" w:line="369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停工日期只能选择次日及以后，若申请时间晚于当日16:00,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停工日期的选择要再推迟一天，故项目停工要提前在信用系统中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申报，复工日期与停工日期计算规则相同。如：2022年1月25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2"/>
        </w:rPr>
        <w:t>日12:00在市信用系统内申报项目停工，</w:t>
      </w:r>
      <w:r>
        <w:rPr>
          <w:rFonts w:ascii="SimSun" w:hAnsi="SimSun" w:eastAsia="SimSun" w:cs="SimSun"/>
          <w:sz w:val="31"/>
          <w:szCs w:val="31"/>
          <w:spacing w:val="31"/>
        </w:rPr>
        <w:t>停工日期可以选择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2022-01-26(及以后),但不能选择</w:t>
      </w:r>
      <w:r>
        <w:rPr>
          <w:rFonts w:ascii="SimSun" w:hAnsi="SimSun" w:eastAsia="SimSun" w:cs="SimSun"/>
          <w:sz w:val="31"/>
          <w:szCs w:val="31"/>
          <w:spacing w:val="20"/>
        </w:rPr>
        <w:t>2022-01-25。</w:t>
      </w:r>
      <w:r>
        <w:rPr>
          <w:rFonts w:ascii="SimSun" w:hAnsi="SimSun" w:eastAsia="SimSun" w:cs="SimSun"/>
          <w:sz w:val="31"/>
          <w:szCs w:val="31"/>
          <w:spacing w:val="9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2022年1月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1"/>
        </w:rPr>
        <w:t>25日17:00在信用系统内申报项目停工，停工日期可以选择</w:t>
      </w:r>
    </w:p>
    <w:p>
      <w:pPr>
        <w:ind w:left="154"/>
        <w:spacing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2022-01-27(及以后),但不能选择2022-01-</w:t>
      </w:r>
      <w:r>
        <w:rPr>
          <w:rFonts w:ascii="SimSun" w:hAnsi="SimSun" w:eastAsia="SimSun" w:cs="SimSun"/>
          <w:sz w:val="31"/>
          <w:szCs w:val="31"/>
          <w:spacing w:val="16"/>
        </w:rPr>
        <w:t>26。</w:t>
      </w:r>
    </w:p>
    <w:p>
      <w:pPr>
        <w:sectPr>
          <w:pgSz w:w="11900" w:h="16820"/>
          <w:pgMar w:top="1429" w:right="1411" w:bottom="0" w:left="1474" w:header="0" w:footer="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ind w:left="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5"/>
        </w:rPr>
        <w:t>附件3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left="5"/>
        <w:spacing w:before="133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16"/>
        </w:rPr>
        <w:t>建筑工人信息管理平台考勤信息异议申请分类目录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left="644"/>
        <w:spacing w:before="104" w:line="223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一、主管部门原因</w:t>
      </w:r>
    </w:p>
    <w:p>
      <w:pPr>
        <w:ind w:left="770"/>
        <w:spacing w:before="197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(一)项目不具备开工条件，主管部门误设置为在建状态的；</w:t>
      </w:r>
    </w:p>
    <w:p>
      <w:pPr>
        <w:ind w:left="770"/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(二)项目延期开工，主管部门未及时确认的；</w:t>
      </w:r>
    </w:p>
    <w:p>
      <w:pPr>
        <w:ind w:left="770"/>
        <w:spacing w:before="21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"/>
        </w:rPr>
        <w:t>(三)区县采用自身考勤平台，考勤数据上传故障或未及时</w:t>
      </w:r>
    </w:p>
    <w:p>
      <w:pPr>
        <w:spacing w:before="22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1"/>
        </w:rPr>
        <w:t>上传至市平台的。</w:t>
      </w:r>
    </w:p>
    <w:p>
      <w:pPr>
        <w:ind w:left="644"/>
        <w:spacing w:before="239" w:line="223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二、</w:t>
      </w:r>
      <w:r>
        <w:rPr>
          <w:rFonts w:ascii="SimHei" w:hAnsi="SimHei" w:eastAsia="SimHei" w:cs="SimHei"/>
          <w:sz w:val="32"/>
          <w:szCs w:val="32"/>
          <w:spacing w:val="-85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市管理平台原因</w:t>
      </w:r>
    </w:p>
    <w:p>
      <w:pPr>
        <w:ind w:left="640"/>
        <w:spacing w:before="227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市工人平台未及时与市信用系统匹配监理单位变更信息等。</w:t>
      </w:r>
    </w:p>
    <w:p>
      <w:pPr>
        <w:ind w:left="644"/>
        <w:spacing w:before="183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3"/>
        </w:rPr>
        <w:t>三、</w:t>
      </w:r>
      <w:r>
        <w:rPr>
          <w:rFonts w:ascii="SimHei" w:hAnsi="SimHei" w:eastAsia="SimHei" w:cs="SimHei"/>
          <w:sz w:val="32"/>
          <w:szCs w:val="32"/>
          <w:spacing w:val="-6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3"/>
        </w:rPr>
        <w:t>不可抗力因素等原因</w:t>
      </w:r>
    </w:p>
    <w:p>
      <w:pPr>
        <w:ind w:left="770"/>
        <w:spacing w:before="225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(一)因重大活动等公共事件原因；</w:t>
      </w:r>
    </w:p>
    <w:p>
      <w:pPr>
        <w:ind w:left="770"/>
        <w:spacing w:before="24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(二)因台风、严寒等自然灾害原因。</w:t>
      </w:r>
    </w:p>
    <w:p>
      <w:pPr>
        <w:sectPr>
          <w:pgSz w:w="11900" w:h="16820"/>
          <w:pgMar w:top="1429" w:right="1399" w:bottom="0" w:left="1619" w:header="0" w:footer="0" w:gutter="0"/>
        </w:sectPr>
        <w:rPr/>
      </w:pPr>
    </w:p>
    <w:p>
      <w:pPr>
        <w:ind w:left="144"/>
        <w:spacing w:before="308" w:line="224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8"/>
        </w:rPr>
        <w:t>附件4</w:t>
      </w:r>
    </w:p>
    <w:p>
      <w:pPr>
        <w:ind w:left="371"/>
        <w:spacing w:before="378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6"/>
        </w:rPr>
        <w:t>建筑工人信息管理平台考勤信息异议申请表</w:t>
      </w:r>
    </w:p>
    <w:p>
      <w:pPr>
        <w:spacing w:line="154" w:lineRule="exact"/>
        <w:rPr/>
      </w:pPr>
      <w:r/>
    </w:p>
    <w:p>
      <w:pPr>
        <w:sectPr>
          <w:pgSz w:w="11900" w:h="16820"/>
          <w:pgMar w:top="1429" w:right="1314" w:bottom="0" w:left="1475" w:header="0" w:footer="0" w:gutter="0"/>
          <w:cols w:equalWidth="0" w:num="1">
            <w:col w:w="9111" w:space="0"/>
          </w:cols>
        </w:sectPr>
        <w:rPr/>
      </w:pPr>
    </w:p>
    <w:p>
      <w:pPr>
        <w:ind w:left="185"/>
        <w:spacing w:before="75" w:line="18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申请企业(公章):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9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8"/>
        </w:rPr>
        <w:t>申请时间：</w:t>
      </w:r>
    </w:p>
    <w:p>
      <w:pPr>
        <w:sectPr>
          <w:type w:val="continuous"/>
          <w:pgSz w:w="11900" w:h="16820"/>
          <w:pgMar w:top="1429" w:right="1314" w:bottom="0" w:left="1475" w:header="0" w:footer="0" w:gutter="0"/>
          <w:cols w:equalWidth="0" w:num="2">
            <w:col w:w="5226" w:space="100"/>
            <w:col w:w="3786" w:space="0"/>
          </w:cols>
        </w:sectPr>
        <w:rPr/>
      </w:pPr>
    </w:p>
    <w:p>
      <w:pPr>
        <w:spacing w:line="54" w:lineRule="exact"/>
        <w:rPr/>
      </w:pPr>
      <w:r/>
    </w:p>
    <w:tbl>
      <w:tblPr>
        <w:tblStyle w:val="2"/>
        <w:tblW w:w="91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943"/>
        <w:gridCol w:w="2447"/>
        <w:gridCol w:w="2357"/>
        <w:gridCol w:w="2353"/>
      </w:tblGrid>
      <w:tr>
        <w:trPr>
          <w:trHeight w:val="674" w:hRule="atLeast"/>
        </w:trPr>
        <w:tc>
          <w:tcPr>
            <w:tcW w:w="1943" w:type="dxa"/>
            <w:vAlign w:val="top"/>
          </w:tcPr>
          <w:p>
            <w:pPr>
              <w:ind w:left="488"/>
              <w:spacing w:before="22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项目名称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7" w:type="dxa"/>
            <w:vAlign w:val="top"/>
          </w:tcPr>
          <w:p>
            <w:pPr>
              <w:ind w:left="694"/>
              <w:spacing w:before="22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项目地址</w:t>
            </w: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943" w:type="dxa"/>
            <w:vAlign w:val="top"/>
          </w:tcPr>
          <w:p>
            <w:pPr>
              <w:ind w:left="245"/>
              <w:spacing w:before="22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施工许可证号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7" w:type="dxa"/>
            <w:vAlign w:val="top"/>
          </w:tcPr>
          <w:p>
            <w:pPr>
              <w:ind w:left="94"/>
              <w:spacing w:before="22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质监、安监交底时间</w:t>
            </w: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943" w:type="dxa"/>
            <w:vAlign w:val="top"/>
          </w:tcPr>
          <w:p>
            <w:pPr>
              <w:ind w:left="245"/>
              <w:spacing w:before="22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竣工验收时间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7" w:type="dxa"/>
            <w:vAlign w:val="top"/>
          </w:tcPr>
          <w:p>
            <w:pPr>
              <w:ind w:left="214"/>
              <w:spacing w:before="22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终止施工安监时间</w:t>
            </w: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943" w:type="dxa"/>
            <w:vAlign w:val="top"/>
          </w:tcPr>
          <w:p>
            <w:pPr>
              <w:ind w:left="485"/>
              <w:spacing w:before="22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施工单位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7" w:type="dxa"/>
            <w:vAlign w:val="top"/>
          </w:tcPr>
          <w:p>
            <w:pPr>
              <w:ind w:left="694"/>
              <w:spacing w:before="22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监理单位</w:t>
            </w: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943" w:type="dxa"/>
            <w:vAlign w:val="top"/>
          </w:tcPr>
          <w:p>
            <w:pPr>
              <w:ind w:left="485"/>
              <w:spacing w:before="22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建设单位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7" w:type="dxa"/>
            <w:vAlign w:val="top"/>
          </w:tcPr>
          <w:p>
            <w:pPr>
              <w:ind w:left="214"/>
              <w:spacing w:before="22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考勤软件技术单位</w:t>
            </w: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943" w:type="dxa"/>
            <w:vAlign w:val="top"/>
          </w:tcPr>
          <w:p>
            <w:pPr>
              <w:ind w:left="245"/>
              <w:spacing w:before="22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缺勤起止时间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7" w:type="dxa"/>
            <w:vAlign w:val="top"/>
          </w:tcPr>
          <w:p>
            <w:pPr>
              <w:ind w:left="454"/>
              <w:spacing w:before="22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考勤扣分时间</w:t>
            </w: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5" w:hRule="atLeast"/>
        </w:trPr>
        <w:tc>
          <w:tcPr>
            <w:tcW w:w="19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考勤异议</w:t>
            </w:r>
          </w:p>
          <w:p>
            <w:pPr>
              <w:ind w:left="488"/>
              <w:spacing w:before="4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申请类型</w:t>
            </w:r>
          </w:p>
        </w:tc>
        <w:tc>
          <w:tcPr>
            <w:tcW w:w="7157" w:type="dxa"/>
            <w:vAlign w:val="top"/>
            <w:gridSpan w:val="3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3"/>
              </w:rPr>
              <w:t>一、主管部门原因</w:t>
            </w:r>
          </w:p>
          <w:p>
            <w:pPr>
              <w:ind w:left="122"/>
              <w:spacing w:before="9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(一)项目不具备开工条件，主管部门误设置为考勤状态的口；</w:t>
            </w:r>
          </w:p>
          <w:p>
            <w:pPr>
              <w:ind w:left="122"/>
              <w:spacing w:before="21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(二)项目延期开工，主管部门未及时确认的□;</w:t>
            </w:r>
          </w:p>
          <w:p>
            <w:pPr>
              <w:ind w:left="122" w:right="132"/>
              <w:spacing w:before="214" w:line="25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(三)区县采用自身考勤平台，考勤数据上传故障或未及时上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传至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>市平台的□。</w:t>
            </w:r>
          </w:p>
          <w:p>
            <w:pPr>
              <w:ind w:left="125"/>
              <w:spacing w:before="1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二、市管理平台原因</w:t>
            </w:r>
          </w:p>
          <w:p>
            <w:pPr>
              <w:ind w:left="122"/>
              <w:spacing w:before="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市工人平台未及时与市信用系统匹配监理单位变更信息等口。</w:t>
            </w:r>
          </w:p>
          <w:p>
            <w:pPr>
              <w:ind w:left="125"/>
              <w:spacing w:before="10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三、不可抗力因素等原因</w:t>
            </w:r>
          </w:p>
          <w:p>
            <w:pPr>
              <w:ind w:left="122"/>
              <w:spacing w:before="10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(一)因重大活动等公共事件原因□;</w:t>
            </w:r>
          </w:p>
          <w:p>
            <w:pPr>
              <w:ind w:left="122"/>
              <w:spacing w:before="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(二)因台风、严寒等自然灾害原因口。</w:t>
            </w:r>
          </w:p>
        </w:tc>
      </w:tr>
      <w:tr>
        <w:trPr>
          <w:trHeight w:val="1474" w:hRule="atLeast"/>
        </w:trPr>
        <w:tc>
          <w:tcPr>
            <w:tcW w:w="194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项目所在地建设</w:t>
            </w:r>
          </w:p>
          <w:p>
            <w:pPr>
              <w:ind w:left="248"/>
              <w:spacing w:before="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主管部门意见</w:t>
            </w:r>
          </w:p>
        </w:tc>
        <w:tc>
          <w:tcPr>
            <w:tcW w:w="7157" w:type="dxa"/>
            <w:vAlign w:val="top"/>
            <w:gridSpan w:val="3"/>
          </w:tcPr>
          <w:p>
            <w:pPr>
              <w:ind w:left="122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情况属实，同意撤销该项目考勤扣分。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59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公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章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)</w:t>
            </w:r>
          </w:p>
          <w:p>
            <w:pPr>
              <w:ind w:right="165"/>
              <w:spacing w:before="3" w:line="198" w:lineRule="auto"/>
              <w:jc w:val="righ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     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sectPr>
      <w:type w:val="continuous"/>
      <w:pgSz w:w="11900" w:h="16820"/>
      <w:pgMar w:top="1429" w:right="1314" w:bottom="0" w:left="1475" w:header="0" w:footer="0" w:gutter="0"/>
      <w:cols w:equalWidth="0" w:num="1">
        <w:col w:w="9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2023-02-10T12:32:05Z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2023-02-10T12:32:06</vt:filetime>
  </property>
  <property fmtid="{D5CDD505-2E9C-101B-9397-08002B2CF9AE}" pid="4" name="UsrData">
    <vt:lpwstr>63e5c8b90d38b70015242b23</vt:lpwstr>
  </property>
</Properties>
</file>