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70"/>
        <w:spacing w:before="220" w:line="219" w:lineRule="auto"/>
        <w:rPr>
          <w:rFonts w:ascii="SimSun" w:hAnsi="SimSun" w:eastAsia="SimSun" w:cs="SimSun"/>
          <w:sz w:val="75"/>
          <w:szCs w:val="75"/>
        </w:rPr>
      </w:pPr>
      <w:r>
        <w:pict>
          <v:rect id="_x0000_s1" style="position:absolute;margin-left:59.0002pt;margin-top:770.003pt;mso-position-vertical-relative:page;mso-position-horizontal-relative:page;width:483.5pt;height:3pt;z-index:251658240;" o:allowincell="f" fillcolor="#FF0000" filled="true" stroked="false"/>
        </w:pict>
      </w:r>
      <w:r>
        <w:rPr>
          <w:rFonts w:ascii="SimSun" w:hAnsi="SimSun" w:eastAsia="SimSun" w:cs="SimSun"/>
          <w:sz w:val="75"/>
          <w:szCs w:val="75"/>
          <w:b/>
          <w:bCs/>
          <w:color w:val="E91F00"/>
          <w:spacing w:val="39"/>
        </w:rPr>
        <w:t>宁波市住房和城乡建设局</w:t>
      </w:r>
    </w:p>
    <w:p>
      <w:pPr>
        <w:spacing w:before="69" w:line="140" w:lineRule="exact"/>
        <w:textAlignment w:val="center"/>
        <w:rPr/>
      </w:pPr>
      <w:r>
        <w:drawing>
          <wp:inline distT="0" distB="0" distL="0" distR="0">
            <wp:extent cx="6140411" cy="88969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40411" cy="88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466"/>
        <w:spacing w:before="146" w:line="720" w:lineRule="exact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6"/>
          <w:position w:val="19"/>
        </w:rPr>
        <w:t>关于征求《宁波市建筑市场信用系统功能优化</w:t>
      </w:r>
    </w:p>
    <w:p>
      <w:pPr>
        <w:ind w:left="1916"/>
        <w:spacing w:before="1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2"/>
        </w:rPr>
        <w:t>方案(征求意见稿)》意见的函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spacing w:line="331" w:lineRule="auto"/>
        <w:rPr>
          <w:rFonts w:ascii="Arial"/>
          <w:sz w:val="21"/>
        </w:rPr>
      </w:pPr>
      <w:r/>
    </w:p>
    <w:p>
      <w:pPr>
        <w:ind w:left="459"/>
        <w:spacing w:before="111" w:line="610" w:lineRule="exact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14"/>
          <w:position w:val="20"/>
        </w:rPr>
        <w:t>各区(县、市)、开发园区住房城乡建设主管部门，市建筑市场</w:t>
      </w:r>
    </w:p>
    <w:p>
      <w:pPr>
        <w:ind w:left="459"/>
        <w:spacing w:before="1" w:line="219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26"/>
        </w:rPr>
        <w:t>总站、市建设安质总站，各有关单位：</w:t>
      </w:r>
    </w:p>
    <w:p>
      <w:pPr>
        <w:ind w:left="459" w:right="400" w:firstLine="680"/>
        <w:spacing w:before="195" w:line="320" w:lineRule="auto"/>
        <w:jc w:val="both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27"/>
        </w:rPr>
        <w:t>为进一步加强我市建筑市场监管信息化建设，提高建筑市场</w:t>
      </w:r>
      <w:r>
        <w:rPr>
          <w:rFonts w:ascii="SimSun" w:hAnsi="SimSun" w:eastAsia="SimSun" w:cs="SimSun"/>
          <w:sz w:val="34"/>
          <w:szCs w:val="34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-27"/>
        </w:rPr>
        <w:t>监管信息化管理水平。根据《宁波市住房和城乡建设局关于印发</w:t>
      </w:r>
      <w:r>
        <w:rPr>
          <w:rFonts w:ascii="SimSun" w:hAnsi="SimSun" w:eastAsia="SimSun" w:cs="SimSun"/>
          <w:sz w:val="34"/>
          <w:szCs w:val="34"/>
          <w:spacing w:val="18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-24"/>
        </w:rPr>
        <w:t>&lt;宁波市建筑市场主体专项信用评价实施细则&gt;</w:t>
      </w:r>
      <w:r>
        <w:rPr>
          <w:rFonts w:ascii="SimSun" w:hAnsi="SimSun" w:eastAsia="SimSun" w:cs="SimSun"/>
          <w:sz w:val="34"/>
          <w:szCs w:val="34"/>
          <w:spacing w:val="-25"/>
        </w:rPr>
        <w:t>的通知》等文件要</w:t>
      </w:r>
      <w:r>
        <w:rPr>
          <w:rFonts w:ascii="SimSun" w:hAnsi="SimSun" w:eastAsia="SimSun" w:cs="SimSun"/>
          <w:sz w:val="34"/>
          <w:szCs w:val="34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-26"/>
        </w:rPr>
        <w:t>求，结合前期对各地主管部门、行业协会、建</w:t>
      </w:r>
      <w:r>
        <w:rPr>
          <w:rFonts w:ascii="SimSun" w:hAnsi="SimSun" w:eastAsia="SimSun" w:cs="SimSun"/>
          <w:sz w:val="34"/>
          <w:szCs w:val="34"/>
          <w:spacing w:val="-27"/>
        </w:rPr>
        <w:t>筑业企业等调研座</w:t>
      </w:r>
      <w:r>
        <w:rPr>
          <w:rFonts w:ascii="SimSun" w:hAnsi="SimSun" w:eastAsia="SimSun" w:cs="SimSun"/>
          <w:sz w:val="34"/>
          <w:szCs w:val="34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-27"/>
        </w:rPr>
        <w:t>谈会意见与需求，我局起草了《宁波市建筑市场信用系统功能优</w:t>
      </w:r>
      <w:r>
        <w:rPr>
          <w:rFonts w:ascii="SimSun" w:hAnsi="SimSun" w:eastAsia="SimSun" w:cs="SimSun"/>
          <w:sz w:val="34"/>
          <w:szCs w:val="34"/>
          <w:spacing w:val="18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-2"/>
        </w:rPr>
        <w:t>化方案(征求意见稿)》,现征求你们意见建议，请于2月1</w:t>
      </w:r>
      <w:r>
        <w:rPr>
          <w:rFonts w:ascii="SimSun" w:hAnsi="SimSun" w:eastAsia="SimSun" w:cs="SimSun"/>
          <w:sz w:val="34"/>
          <w:szCs w:val="34"/>
          <w:spacing w:val="-3"/>
        </w:rPr>
        <w:t>0日</w:t>
      </w:r>
      <w:r>
        <w:rPr>
          <w:rFonts w:ascii="SimSun" w:hAnsi="SimSun" w:eastAsia="SimSun" w:cs="SimSun"/>
          <w:sz w:val="34"/>
          <w:szCs w:val="34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-2"/>
        </w:rPr>
        <w:t>下午17:00前将修改意见以书面盖章形式反馈至市住建局(联</w:t>
      </w:r>
    </w:p>
    <w:p>
      <w:pPr>
        <w:ind w:left="459"/>
        <w:spacing w:before="1" w:line="216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31"/>
        </w:rPr>
        <w:t>系人：邢佳丽，联系方式：89180547),若无修改意见，也请反馈。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1120"/>
        <w:spacing w:before="111" w:line="219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22"/>
        </w:rPr>
        <w:t>附件：宁波市建筑市场信用系统功能优化方案(征求意见稿)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5300"/>
        <w:spacing w:before="111" w:line="580" w:lineRule="exact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25"/>
          <w:position w:val="17"/>
        </w:rPr>
        <w:t>宁波市住房和城乡建设局</w:t>
      </w:r>
    </w:p>
    <w:p>
      <w:pPr>
        <w:ind w:left="5930"/>
        <w:spacing w:line="219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30"/>
        </w:rPr>
        <w:t>2023年2月6日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ind w:left="8659"/>
        <w:spacing w:before="111" w:line="184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color w:val="E91F00"/>
          <w:spacing w:val="-20"/>
        </w:rPr>
        <w:t>1-</w:t>
      </w:r>
    </w:p>
    <w:p>
      <w:pPr>
        <w:sectPr>
          <w:pgSz w:w="11900" w:h="16820"/>
          <w:pgMar w:top="1429" w:right="1050" w:bottom="0" w:left="1170" w:header="0" w:footer="0" w:gutter="0"/>
        </w:sectPr>
        <w:rPr/>
      </w:pPr>
    </w:p>
    <w:p>
      <w:pPr>
        <w:ind w:left="24"/>
        <w:spacing w:before="97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2"/>
        </w:rPr>
        <w:t>附件</w:t>
      </w:r>
    </w:p>
    <w:p>
      <w:pPr>
        <w:ind w:left="481"/>
        <w:spacing w:before="168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1"/>
        </w:rPr>
        <w:t>宁波市建筑市场信用系统功能优化方案</w:t>
      </w:r>
    </w:p>
    <w:p>
      <w:pPr>
        <w:ind w:left="3205"/>
        <w:spacing w:before="251" w:line="228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3"/>
        </w:rPr>
        <w:t>(征求意见稿)</w:t>
      </w:r>
    </w:p>
    <w:p>
      <w:pPr>
        <w:ind w:left="659"/>
        <w:spacing w:before="209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一、企业端</w:t>
      </w:r>
    </w:p>
    <w:p>
      <w:pPr>
        <w:ind w:left="815"/>
        <w:spacing w:before="266" w:line="22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0"/>
        </w:rPr>
        <w:t>(一)实名制考勤短信接收人调整</w:t>
      </w:r>
    </w:p>
    <w:p>
      <w:pPr>
        <w:ind w:left="24" w:right="120" w:firstLine="629"/>
        <w:spacing w:before="201" w:line="351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6"/>
        </w:rPr>
        <w:t>1.企业实名制考勤短信接收人由“企业法定代表人”调整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"/>
        </w:rPr>
        <w:t>为“企业实名制负责人”(施工、监理企业必填),“企业实名</w:t>
      </w:r>
      <w:r>
        <w:rPr>
          <w:rFonts w:ascii="SimSun" w:hAnsi="SimSun" w:eastAsia="SimSun" w:cs="SimSun"/>
          <w:sz w:val="31"/>
          <w:szCs w:val="31"/>
          <w:spacing w:val="1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"/>
        </w:rPr>
        <w:t>制负责人”模块设在宁波市建筑市场信用系统(以下简称“信</w:t>
      </w:r>
      <w:r>
        <w:rPr>
          <w:rFonts w:ascii="SimSun" w:hAnsi="SimSun" w:eastAsia="SimSun" w:cs="SimSun"/>
          <w:sz w:val="31"/>
          <w:szCs w:val="31"/>
          <w:spacing w:val="1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"/>
        </w:rPr>
        <w:t>用系统”)企业基本信息页面，目前该企业实名制负责人登记</w:t>
      </w:r>
      <w:r>
        <w:rPr>
          <w:rFonts w:ascii="SimSun" w:hAnsi="SimSun" w:eastAsia="SimSun" w:cs="SimSun"/>
          <w:sz w:val="31"/>
          <w:szCs w:val="31"/>
          <w:spacing w:val="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信息依旧是企业法定代表人信息，企业可自行更改无需提交</w:t>
      </w:r>
    </w:p>
    <w:p>
      <w:pPr>
        <w:ind w:left="24"/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"/>
        </w:rPr>
        <w:t>审核，请务必填写真实准确。</w:t>
      </w:r>
    </w:p>
    <w:p>
      <w:pPr>
        <w:ind w:left="24" w:firstLine="629"/>
        <w:spacing w:before="220" w:line="352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"/>
        </w:rPr>
        <w:t>2.项目上除项目经理、项目总监接收实名制考勤短信外，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5"/>
        </w:rPr>
        <w:t>现新增“项目实名制负责人”接收实名制考勤短信，负责项目</w:t>
      </w:r>
    </w:p>
    <w:p>
      <w:pPr>
        <w:ind w:left="24"/>
        <w:spacing w:before="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9"/>
        </w:rPr>
        <w:t>实名制管理，“项目实名制负责人”设在项目标段信息。</w:t>
      </w:r>
    </w:p>
    <w:p>
      <w:pPr>
        <w:ind w:left="24" w:right="82" w:firstLine="629"/>
        <w:spacing w:before="224" w:line="351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8"/>
        </w:rPr>
        <w:t>3.调整后实名制短信接收对象如下：施工企业</w:t>
      </w:r>
      <w:r>
        <w:rPr>
          <w:rFonts w:ascii="SimSun" w:hAnsi="SimSun" w:eastAsia="SimSun" w:cs="SimSun"/>
          <w:sz w:val="31"/>
          <w:szCs w:val="31"/>
          <w:spacing w:val="7"/>
        </w:rPr>
        <w:t>是企业实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9"/>
        </w:rPr>
        <w:t>名制负责人(企业层面)、项目实名制负责人(项目层面)</w:t>
      </w:r>
      <w:r>
        <w:rPr>
          <w:rFonts w:ascii="SimSun" w:hAnsi="SimSun" w:eastAsia="SimSun" w:cs="SimSun"/>
          <w:sz w:val="31"/>
          <w:szCs w:val="31"/>
          <w:spacing w:val="1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0"/>
        </w:rPr>
        <w:t>和项目经理(项目层面);监理企业是企业实</w:t>
      </w:r>
      <w:r>
        <w:rPr>
          <w:rFonts w:ascii="SimSun" w:hAnsi="SimSun" w:eastAsia="SimSun" w:cs="SimSun"/>
          <w:sz w:val="31"/>
          <w:szCs w:val="31"/>
          <w:spacing w:val="19"/>
        </w:rPr>
        <w:t>名制负责人(企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业层面)、项目实名制负责人(项目层面)和项目总监(项</w:t>
      </w:r>
    </w:p>
    <w:p>
      <w:pPr>
        <w:ind w:left="24"/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1"/>
        </w:rPr>
        <w:t>目层面)。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ind w:left="805"/>
        <w:spacing w:before="102" w:line="22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0"/>
        </w:rPr>
        <w:t>(二)实名制缺勤扣分方式调整</w:t>
      </w:r>
    </w:p>
    <w:p>
      <w:pPr>
        <w:ind w:left="654"/>
        <w:spacing w:before="190" w:line="609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6"/>
          <w:position w:val="22"/>
        </w:rPr>
        <w:t>当施工(监理)企业某一项目连续4天及以上缺勤时扣</w:t>
      </w:r>
    </w:p>
    <w:p>
      <w:pPr>
        <w:ind w:left="24"/>
        <w:spacing w:before="1" w:line="217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"/>
        </w:rPr>
        <w:t>除该项目管理评价分，扣分标准如下：</w:t>
      </w:r>
    </w:p>
    <w:p>
      <w:pPr>
        <w:ind w:left="654"/>
        <w:spacing w:before="234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8"/>
        </w:rPr>
        <w:t>1.扣分记录在评价周期(按季度)内有效，</w:t>
      </w:r>
      <w:r>
        <w:rPr>
          <w:rFonts w:ascii="SimSun" w:hAnsi="SimSun" w:eastAsia="SimSun" w:cs="SimSun"/>
          <w:sz w:val="31"/>
          <w:szCs w:val="31"/>
          <w:spacing w:val="11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一次连续缺</w:t>
      </w:r>
    </w:p>
    <w:p>
      <w:pPr>
        <w:sectPr>
          <w:footerReference w:type="default" r:id="rId2"/>
          <w:pgSz w:w="11900" w:h="16820"/>
          <w:pgMar w:top="1429" w:right="1724" w:bottom="1369" w:left="1785" w:header="0" w:footer="1101" w:gutter="0"/>
        </w:sectPr>
        <w:rPr/>
      </w:pPr>
    </w:p>
    <w:p>
      <w:pPr>
        <w:ind w:left="44" w:right="3" w:firstLine="29"/>
        <w:spacing w:before="119" w:line="336" w:lineRule="auto"/>
        <w:jc w:val="both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</w:rPr>
        <w:t>勤记录扣分一次，该项目缺勤扣分在评价周期(按季度)内</w:t>
      </w:r>
      <w:r>
        <w:rPr>
          <w:rFonts w:ascii="SimSun" w:hAnsi="SimSun" w:eastAsia="SimSun" w:cs="SimSun"/>
          <w:sz w:val="33"/>
          <w:szCs w:val="33"/>
          <w:spacing w:val="4"/>
        </w:rPr>
        <w:t xml:space="preserve"> </w:t>
      </w:r>
      <w:r>
        <w:rPr>
          <w:rFonts w:ascii="SimSun" w:hAnsi="SimSun" w:eastAsia="SimSun" w:cs="SimSun"/>
          <w:sz w:val="33"/>
          <w:szCs w:val="33"/>
          <w:spacing w:val="-13"/>
        </w:rPr>
        <w:t>按扣分次数取平均值，该分值在项目排名赋分后扣除，形成</w:t>
      </w:r>
    </w:p>
    <w:p>
      <w:pPr>
        <w:ind w:left="74"/>
        <w:spacing w:before="1" w:line="217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14"/>
        </w:rPr>
        <w:t>最终的项目管理评价分。项目缺勤扣分按如下公式计算</w:t>
      </w:r>
      <w:r>
        <w:rPr>
          <w:rFonts w:ascii="SimSun" w:hAnsi="SimSun" w:eastAsia="SimSun" w:cs="SimSun"/>
          <w:sz w:val="33"/>
          <w:szCs w:val="33"/>
          <w:spacing w:val="-15"/>
        </w:rPr>
        <w:t>：</w:t>
      </w:r>
    </w:p>
    <w:p>
      <w:pPr>
        <w:ind w:left="674"/>
        <w:spacing w:before="214" w:line="220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21"/>
        </w:rPr>
        <w:t>其中：</w:t>
      </w:r>
    </w:p>
    <w:p>
      <w:pPr>
        <w:ind w:firstLine="664"/>
        <w:spacing w:before="42" w:line="1830" w:lineRule="exact"/>
        <w:textAlignment w:val="center"/>
        <w:rPr/>
      </w:pPr>
      <w:r>
        <w:drawing>
          <wp:inline distT="0" distB="0" distL="0" distR="0">
            <wp:extent cx="2927387" cy="116206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27387" cy="116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94"/>
        <w:spacing w:before="211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13"/>
        </w:rPr>
        <w:t>Si为第一次连续缺勤计分值；</w:t>
      </w:r>
    </w:p>
    <w:p>
      <w:pPr>
        <w:ind w:left="684"/>
        <w:spacing w:before="198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8"/>
        </w:rPr>
        <w:t>Sn为第n次连续缺勤计分值，n≥2;</w:t>
      </w:r>
    </w:p>
    <w:p>
      <w:pPr>
        <w:ind w:left="694"/>
        <w:spacing w:before="209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10"/>
        </w:rPr>
        <w:t>D1为第一次连续缺勤天数；</w:t>
      </w:r>
    </w:p>
    <w:p>
      <w:pPr>
        <w:ind w:left="674"/>
        <w:spacing w:before="209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3"/>
        </w:rPr>
        <w:t>Dn为第n次连续缺勤天数，n≥2;</w:t>
      </w:r>
    </w:p>
    <w:p>
      <w:pPr>
        <w:ind w:left="694"/>
        <w:spacing w:before="218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8"/>
        </w:rPr>
        <w:t>T为周期内各次连续缺勤计分值的平均分；</w:t>
      </w:r>
    </w:p>
    <w:p>
      <w:pPr>
        <w:ind w:left="704"/>
        <w:spacing w:before="201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12"/>
        </w:rPr>
        <w:t>int:是将一个要取整的实数向下取整为最接近的整数；</w:t>
      </w:r>
    </w:p>
    <w:p>
      <w:pPr>
        <w:ind w:left="714"/>
        <w:spacing w:before="208" w:line="600" w:lineRule="exact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13"/>
          <w:position w:val="20"/>
        </w:rPr>
        <w:t>施工和监理项目扣分公式一致，计算监理项目扣分时公</w:t>
      </w:r>
    </w:p>
    <w:p>
      <w:pPr>
        <w:ind w:left="74"/>
        <w:spacing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6"/>
        </w:rPr>
        <w:t>式中的数值2、0.5改为1、0.25。</w:t>
      </w:r>
    </w:p>
    <w:p>
      <w:pPr>
        <w:ind w:left="84" w:right="1" w:firstLine="590"/>
        <w:spacing w:before="196" w:line="336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11"/>
        </w:rPr>
        <w:t>2.项目因未及时录入进度节点时间产生缺勤记录的，在</w:t>
      </w:r>
      <w:r>
        <w:rPr>
          <w:rFonts w:ascii="SimSun" w:hAnsi="SimSun" w:eastAsia="SimSun" w:cs="SimSun"/>
          <w:sz w:val="33"/>
          <w:szCs w:val="33"/>
          <w:spacing w:val="1"/>
        </w:rPr>
        <w:t xml:space="preserve"> </w:t>
      </w:r>
      <w:r>
        <w:rPr>
          <w:rFonts w:ascii="SimSun" w:hAnsi="SimSun" w:eastAsia="SimSun" w:cs="SimSun"/>
          <w:sz w:val="33"/>
          <w:szCs w:val="33"/>
          <w:spacing w:val="-13"/>
        </w:rPr>
        <w:t>节点补录后，信用系统对项目实际终止施工安全监督、竣工</w:t>
      </w:r>
    </w:p>
    <w:p>
      <w:pPr>
        <w:ind w:left="74"/>
        <w:spacing w:before="1" w:line="218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1"/>
        </w:rPr>
        <w:t>验收(市政项目初验)时间之后产生的缺勤记录自动撤销。</w:t>
      </w:r>
    </w:p>
    <w:p>
      <w:pPr>
        <w:ind w:left="825"/>
        <w:spacing w:before="203" w:line="223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spacing w:val="3"/>
        </w:rPr>
        <w:t>(三)企业项目管理评价分调整</w:t>
      </w:r>
    </w:p>
    <w:p>
      <w:pPr>
        <w:ind w:left="714"/>
        <w:spacing w:before="207" w:line="590" w:lineRule="exact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13"/>
          <w:position w:val="19"/>
        </w:rPr>
        <w:t>1.企业项目管理评价分定期展示。每自然月首日零时在</w:t>
      </w:r>
    </w:p>
    <w:p>
      <w:pPr>
        <w:ind w:left="84"/>
        <w:spacing w:before="1" w:line="217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14"/>
        </w:rPr>
        <w:t>原信用评价页面处展示计算后的企业项目管理评价分。</w:t>
      </w:r>
    </w:p>
    <w:p>
      <w:pPr>
        <w:ind w:left="684"/>
        <w:spacing w:before="194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15"/>
        </w:rPr>
        <w:t>2.项目检查页面中，设置项目自定义筛选功能。</w:t>
      </w:r>
    </w:p>
    <w:p>
      <w:pPr>
        <w:ind w:left="835"/>
        <w:spacing w:before="206" w:line="227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spacing w:val="-1"/>
        </w:rPr>
        <w:t>(四)施工企业不良行为信息扣分调整</w:t>
      </w:r>
    </w:p>
    <w:p>
      <w:pPr>
        <w:sectPr>
          <w:footerReference w:type="default" r:id="rId3"/>
          <w:pgSz w:w="11900" w:h="16820"/>
          <w:pgMar w:top="1429" w:right="1781" w:bottom="1401" w:left="1785" w:header="0" w:footer="1074" w:gutter="0"/>
        </w:sectPr>
        <w:rPr/>
      </w:pPr>
    </w:p>
    <w:p>
      <w:pPr>
        <w:ind w:left="24" w:right="102" w:firstLine="484"/>
        <w:spacing w:before="145" w:line="357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"/>
        </w:rPr>
        <w:t>“企业不良行为信息</w:t>
      </w:r>
      <w:r>
        <w:rPr>
          <w:rFonts w:ascii="SimSun" w:hAnsi="SimSun" w:eastAsia="SimSun" w:cs="SimSun"/>
          <w:sz w:val="31"/>
          <w:szCs w:val="31"/>
          <w:u w:val="single" w:color="auto"/>
          <w:spacing w:val="5"/>
        </w:rPr>
        <w:t xml:space="preserve">    </w:t>
      </w:r>
      <w:r>
        <w:rPr>
          <w:rFonts w:ascii="SimSun" w:hAnsi="SimSun" w:eastAsia="SimSun" w:cs="SimSun"/>
          <w:sz w:val="31"/>
          <w:szCs w:val="31"/>
          <w:spacing w:val="2"/>
        </w:rPr>
        <w:t>行政处罚及其他”指标涉及项目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问题进行失信等通报处罚的，按项目类型分别计算。例如，</w:t>
      </w:r>
      <w:r>
        <w:rPr>
          <w:rFonts w:ascii="SimSun" w:hAnsi="SimSun" w:eastAsia="SimSun" w:cs="SimSun"/>
          <w:sz w:val="31"/>
          <w:szCs w:val="31"/>
          <w:spacing w:val="1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某企业的房建项目被主管部门失信公示的，此失</w:t>
      </w:r>
      <w:r>
        <w:rPr>
          <w:rFonts w:ascii="SimSun" w:hAnsi="SimSun" w:eastAsia="SimSun" w:cs="SimSun"/>
          <w:sz w:val="31"/>
          <w:szCs w:val="31"/>
          <w:spacing w:val="7"/>
        </w:rPr>
        <w:t>信扣分只计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入该企业房建建筑领域信用评价中的不良行为，</w:t>
      </w:r>
      <w:r>
        <w:rPr>
          <w:rFonts w:ascii="SimSun" w:hAnsi="SimSun" w:eastAsia="SimSun" w:cs="SimSun"/>
          <w:sz w:val="31"/>
          <w:szCs w:val="31"/>
          <w:spacing w:val="7"/>
        </w:rPr>
        <w:t>市政工程领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域和专业承包领域不计入。此前各地已录入的施工企业不良</w:t>
      </w:r>
    </w:p>
    <w:p>
      <w:pPr>
        <w:ind w:left="24"/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</w:rPr>
        <w:t>行为信息不做调整。</w:t>
      </w:r>
    </w:p>
    <w:p>
      <w:pPr>
        <w:ind w:left="815"/>
        <w:spacing w:before="244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4"/>
        </w:rPr>
        <w:t>(五)系统操作功能调整</w:t>
      </w:r>
    </w:p>
    <w:p>
      <w:pPr>
        <w:ind w:left="24" w:right="138" w:firstLine="639"/>
        <w:spacing w:before="220" w:line="35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1.为有效杜绝企业长期无效占用非本单位人员信息的问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题。企业进行人员添加后，如未在1个月内发起入库</w:t>
      </w:r>
      <w:r>
        <w:rPr>
          <w:rFonts w:ascii="SimSun" w:hAnsi="SimSun" w:eastAsia="SimSun" w:cs="SimSun"/>
          <w:sz w:val="31"/>
          <w:szCs w:val="31"/>
          <w:spacing w:val="11"/>
        </w:rPr>
        <w:t>申请，</w:t>
      </w:r>
    </w:p>
    <w:p>
      <w:pPr>
        <w:ind w:left="24"/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信用系统自动调离该人员，则企业不占用该人员</w:t>
      </w:r>
      <w:r>
        <w:rPr>
          <w:rFonts w:ascii="SimSun" w:hAnsi="SimSun" w:eastAsia="SimSun" w:cs="SimSun"/>
          <w:sz w:val="31"/>
          <w:szCs w:val="31"/>
          <w:spacing w:val="6"/>
        </w:rPr>
        <w:t>信息。</w:t>
      </w:r>
    </w:p>
    <w:p>
      <w:pPr>
        <w:ind w:left="664"/>
        <w:spacing w:before="232" w:line="600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"/>
          <w:position w:val="21"/>
        </w:rPr>
        <w:t>2.企业申请项目长期停工须由项目主管部门审核通过。</w:t>
      </w:r>
    </w:p>
    <w:p>
      <w:pPr>
        <w:ind w:left="664"/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"/>
        </w:rPr>
        <w:t>3.企业办理竣工验收时须填写工程质量保证金内容。</w:t>
      </w:r>
    </w:p>
    <w:p>
      <w:pPr>
        <w:ind w:left="664"/>
        <w:spacing w:before="232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"/>
        </w:rPr>
        <w:t>4.竣工验收模块增加竣工验收单体搜索查找功能。</w:t>
      </w:r>
    </w:p>
    <w:p>
      <w:pPr>
        <w:ind w:left="664"/>
        <w:spacing w:before="23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"/>
        </w:rPr>
        <w:t>5.登录后信用系统后可在文件发布模块查看各类文件。</w:t>
      </w:r>
    </w:p>
    <w:p>
      <w:pPr>
        <w:ind w:left="669"/>
        <w:spacing w:before="227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0"/>
        </w:rPr>
        <w:t>二、</w:t>
      </w:r>
      <w:r>
        <w:rPr>
          <w:rFonts w:ascii="SimHei" w:hAnsi="SimHei" w:eastAsia="SimHei" w:cs="SimHei"/>
          <w:sz w:val="31"/>
          <w:szCs w:val="31"/>
          <w:spacing w:val="-63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0"/>
        </w:rPr>
        <w:t>管理端</w:t>
      </w:r>
    </w:p>
    <w:p>
      <w:pPr>
        <w:ind w:left="815"/>
        <w:spacing w:before="218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7"/>
        </w:rPr>
        <w:t>(一)信用信息管理</w:t>
      </w:r>
    </w:p>
    <w:p>
      <w:pPr>
        <w:ind w:left="94" w:firstLine="570"/>
        <w:spacing w:before="230" w:line="352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6"/>
        </w:rPr>
        <w:t>1.企业信用评价等级按企业注册地行政区域根据不同类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17"/>
        </w:rPr>
        <w:t>(组)别进行划分。其中北仑区包含原大榭、梅山、保税区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2"/>
        </w:rPr>
        <w:t>的企业，镇海区包含石化区企业，象山县包含象保区的企业，</w:t>
      </w:r>
    </w:p>
    <w:p>
      <w:pPr>
        <w:ind w:left="24"/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"/>
        </w:rPr>
        <w:t>东钱湖企业单独排名。</w:t>
      </w:r>
    </w:p>
    <w:p>
      <w:pPr>
        <w:ind w:left="664"/>
        <w:spacing w:before="220" w:line="592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  <w:position w:val="21"/>
        </w:rPr>
        <w:t>2.各地主管部门可向市住建局申请本区域项目管理评价</w:t>
      </w:r>
    </w:p>
    <w:p>
      <w:pPr>
        <w:ind w:left="24"/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"/>
        </w:rPr>
        <w:t>分数排名的项目清单。</w:t>
      </w:r>
    </w:p>
    <w:p>
      <w:pPr>
        <w:ind w:left="819"/>
        <w:spacing w:before="251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16"/>
        </w:rPr>
        <w:t>(二)系统操作功能调整</w:t>
      </w:r>
    </w:p>
    <w:p>
      <w:pPr>
        <w:sectPr>
          <w:footerReference w:type="default" r:id="rId5"/>
          <w:pgSz w:w="11900" w:h="16820"/>
          <w:pgMar w:top="1429" w:right="1684" w:bottom="1349" w:left="1785" w:header="0" w:footer="1081" w:gutter="0"/>
        </w:sectPr>
        <w:rPr/>
      </w:pPr>
    </w:p>
    <w:p>
      <w:pPr>
        <w:ind w:left="644"/>
        <w:spacing w:before="152" w:line="601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"/>
          <w:position w:val="21"/>
        </w:rPr>
        <w:t>1.各地主管部门可协助办理项目临时停工、长期停工。</w:t>
      </w:r>
    </w:p>
    <w:p>
      <w:pPr>
        <w:ind w:left="644"/>
        <w:spacing w:line="22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"/>
        </w:rPr>
        <w:t>2.项目合同终止后相应标段单体自动取消关联</w:t>
      </w:r>
      <w:r>
        <w:rPr>
          <w:rFonts w:ascii="SimSun" w:hAnsi="SimSun" w:eastAsia="SimSun" w:cs="SimSun"/>
          <w:sz w:val="31"/>
          <w:szCs w:val="31"/>
          <w:spacing w:val="2"/>
        </w:rPr>
        <w:t>。</w:t>
      </w:r>
    </w:p>
    <w:p>
      <w:pPr>
        <w:ind w:left="644"/>
        <w:spacing w:before="228" w:line="600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8"/>
          <w:position w:val="21"/>
        </w:rPr>
        <w:t>3.各地主管部门应统一在信用系统上传关于信用系统信</w:t>
      </w:r>
    </w:p>
    <w:p>
      <w:pPr>
        <w:ind w:left="64"/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"/>
        </w:rPr>
        <w:t>息勘误、实名制考勤异议申请等资料。</w:t>
      </w:r>
    </w:p>
    <w:p>
      <w:pPr>
        <w:ind w:left="644"/>
        <w:spacing w:before="233" w:line="600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  <w:position w:val="21"/>
        </w:rPr>
        <w:t>4.信用系统增加短信群发和选发功能，发送对象为企业</w:t>
      </w:r>
    </w:p>
    <w:p>
      <w:pPr>
        <w:ind w:left="64"/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"/>
        </w:rPr>
        <w:t>法定代表人或企业负责人。</w:t>
      </w:r>
    </w:p>
    <w:sectPr>
      <w:footerReference w:type="default" r:id="rId6"/>
      <w:pgSz w:w="11900" w:h="16820"/>
      <w:pgMar w:top="1429" w:right="1785" w:bottom="1347" w:left="1785" w:header="0" w:footer="108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"/>
      <w:spacing w:before="1" w:line="182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—2—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05"/>
      <w:spacing w:line="183" w:lineRule="auto"/>
      <w:jc w:val="right"/>
      <w:rPr>
        <w:rFonts w:ascii="SimSun" w:hAnsi="SimSun" w:eastAsia="SimSun" w:cs="SimSun"/>
        <w:sz w:val="33"/>
        <w:szCs w:val="33"/>
      </w:rPr>
    </w:pPr>
    <w:r>
      <w:rPr>
        <w:rFonts w:ascii="SimSun" w:hAnsi="SimSun" w:eastAsia="SimSun" w:cs="SimSun"/>
        <w:sz w:val="33"/>
        <w:szCs w:val="33"/>
        <w:spacing w:val="-21"/>
      </w:rPr>
      <w:t>—3—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4"/>
      <w:spacing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—4—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08"/>
      <w:spacing w:before="1" w:line="181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—5—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image" Target="media/image2.png"/><Relationship Id="rId3" Type="http://schemas.openxmlformats.org/officeDocument/2006/relationships/footer" Target="footer2.xml"/><Relationship Id="rId2" Type="http://schemas.openxmlformats.org/officeDocument/2006/relationships/footer" Target="footer1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2023-02-10T12:34:29Z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2023-02-10T12:34:30</vt:filetime>
  </property>
  <property fmtid="{D5CDD505-2E9C-101B-9397-08002B2CF9AE}" pid="4" name="UsrData">
    <vt:lpwstr>63e5c94d0c8b29001541c637</vt:lpwstr>
  </property>
</Properties>
</file>